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B20B55" w14:textId="77777777" w:rsidR="00160338" w:rsidRPr="0065554C" w:rsidRDefault="00160338" w:rsidP="00160338">
      <w:pPr>
        <w:pStyle w:val="TITULODELDOCUMENTO"/>
        <w:pBdr>
          <w:bottom w:val="single" w:sz="6" w:space="1" w:color="auto"/>
        </w:pBdr>
        <w:spacing w:before="840" w:after="120"/>
        <w:jc w:val="center"/>
        <w:rPr>
          <w:sz w:val="40"/>
          <w:lang w:val="es-MX"/>
        </w:rPr>
      </w:pPr>
      <w:r w:rsidRPr="0065554C">
        <w:rPr>
          <w:sz w:val="40"/>
          <w:szCs w:val="40"/>
          <w:lang w:val="es-MX"/>
        </w:rPr>
        <w:t xml:space="preserve">Bases de Licitación de la </w:t>
      </w:r>
      <w:r w:rsidRPr="0065554C">
        <w:rPr>
          <w:sz w:val="40"/>
          <w:lang w:val="es-MX"/>
        </w:rPr>
        <w:t>Subasta de Largo Plazo SLP</w:t>
      </w:r>
      <w:r w:rsidRPr="0065554C">
        <w:rPr>
          <w:sz w:val="40"/>
          <w:szCs w:val="40"/>
          <w:lang w:val="es-MX"/>
        </w:rPr>
        <w:t>-</w:t>
      </w:r>
      <w:r w:rsidRPr="0065554C">
        <w:rPr>
          <w:sz w:val="40"/>
          <w:lang w:val="es-MX"/>
        </w:rPr>
        <w:t>1/201</w:t>
      </w:r>
      <w:r w:rsidR="00107767" w:rsidRPr="0065554C">
        <w:rPr>
          <w:sz w:val="40"/>
          <w:lang w:val="es-MX"/>
        </w:rPr>
        <w:t>8</w:t>
      </w:r>
    </w:p>
    <w:p w14:paraId="2C698011" w14:textId="73A58FC6" w:rsidR="00896D6F" w:rsidRPr="0065554C" w:rsidRDefault="005F4F1C" w:rsidP="000811A1">
      <w:pPr>
        <w:pStyle w:val="Texto1"/>
        <w:jc w:val="center"/>
        <w:rPr>
          <w:b/>
          <w:sz w:val="32"/>
          <w:lang w:val="es-MX"/>
        </w:rPr>
      </w:pPr>
      <w:r>
        <w:rPr>
          <w:b/>
          <w:sz w:val="32"/>
          <w:lang w:val="es-MX"/>
        </w:rPr>
        <w:t>01 de junio</w:t>
      </w:r>
      <w:r w:rsidR="00AB7729" w:rsidRPr="0065554C">
        <w:rPr>
          <w:b/>
          <w:sz w:val="32"/>
          <w:lang w:val="es-MX"/>
        </w:rPr>
        <w:t xml:space="preserve"> de 2018</w:t>
      </w:r>
    </w:p>
    <w:p w14:paraId="6662CAE4" w14:textId="77777777" w:rsidR="00F61CBD" w:rsidRPr="0065554C" w:rsidRDefault="00E92441" w:rsidP="00E300CB">
      <w:pPr>
        <w:pStyle w:val="Texto1"/>
        <w:rPr>
          <w:rFonts w:ascii="Calibri" w:hAnsi="Calibri" w:cs="Calibri"/>
          <w:shd w:val="clear" w:color="auto" w:fill="FFFFFF"/>
          <w:lang w:val="es-MX"/>
        </w:rPr>
      </w:pPr>
      <w:r w:rsidRPr="0065554C">
        <w:rPr>
          <w:rFonts w:ascii="Calibri" w:hAnsi="Calibri" w:cs="Calibri"/>
          <w:b/>
          <w:bCs/>
          <w:shd w:val="clear" w:color="auto" w:fill="FFFFFF"/>
          <w:lang w:val="es-MX"/>
        </w:rPr>
        <w:t>JESÚS ÁVILA CAMARENA, Jefe de Unidad de Planeación y Derechos de Transmisión </w:t>
      </w:r>
      <w:r w:rsidRPr="0065554C">
        <w:rPr>
          <w:rFonts w:ascii="Calibri" w:hAnsi="Calibri" w:cs="Calibri"/>
          <w:shd w:val="clear" w:color="auto" w:fill="FFFFFF"/>
          <w:lang w:val="es-MX"/>
        </w:rPr>
        <w:t>del Centro Nacional de Control de Energía, con fundamento en los artículos 25, párrafo quinto, 27, párrafo sexto, 28, párrafos cuarto, 90, párrafos primero y segundo de la Constitución Política de los Estados Unidos Mexicanos; 1°, párrafo primero y tercero, 3°, párrafo primero, fracción I y 45 de la Ley Orgánica de la Administración Pública Federal; 1°, párrafo primero, 2°, 14, párrafo primero, fracción I y 15 párrafo antepenúltimo de la Ley Federal de las Entidades Paraestatales; 107 y 108, fracción VIII, de la Ley de la Industria Eléctrica; PRIMERO, párrafo primero, SEGUNDO, párrafo primero, VIGÉSIMO SEGUNDO y VIGÉSIMO CUARTO d</w:t>
      </w:r>
      <w:bookmarkStart w:id="0" w:name="_GoBack"/>
      <w:bookmarkEnd w:id="0"/>
      <w:r w:rsidRPr="0065554C">
        <w:rPr>
          <w:rFonts w:ascii="Calibri" w:hAnsi="Calibri" w:cs="Calibri"/>
          <w:shd w:val="clear" w:color="auto" w:fill="FFFFFF"/>
          <w:lang w:val="es-MX"/>
        </w:rPr>
        <w:t>el Decreto por el que se crea el Centro Nacional de Control de Energía; 1°, 3° apartado B, fracción III.1.b, 16 fracciones V, XII y XVI y 49 fracción I del Estatuto Orgánico del Centro Nacional de Control de Energía publicado en el Diario Oficial de la Federación el veinte de abril de dos mil dieciocho; las Bases 14.1.7, inciso (b) y 14.3 de las Bases del Mercado Eléctrico y 1.3</w:t>
      </w:r>
      <w:r w:rsidR="00E300CB" w:rsidRPr="0065554C">
        <w:rPr>
          <w:rFonts w:ascii="Calibri" w:hAnsi="Calibri" w:cs="Calibri"/>
          <w:shd w:val="clear" w:color="auto" w:fill="FFFFFF"/>
          <w:lang w:val="es-MX"/>
        </w:rPr>
        <w:t>.</w:t>
      </w:r>
      <w:r w:rsidRPr="0065554C">
        <w:rPr>
          <w:rFonts w:ascii="Calibri" w:hAnsi="Calibri" w:cs="Calibri"/>
          <w:shd w:val="clear" w:color="auto" w:fill="FFFFFF"/>
          <w:lang w:val="es-MX"/>
        </w:rPr>
        <w:t>1 y 5.3.1 Manual de Subastas de Largo Plazo, y</w:t>
      </w:r>
    </w:p>
    <w:p w14:paraId="770E67F0" w14:textId="77777777" w:rsidR="00160338" w:rsidRPr="0065554C" w:rsidRDefault="00160338" w:rsidP="00160338">
      <w:pPr>
        <w:pStyle w:val="Texto1"/>
        <w:jc w:val="center"/>
        <w:rPr>
          <w:b/>
          <w:lang w:val="es-MX"/>
        </w:rPr>
      </w:pPr>
      <w:r w:rsidRPr="0065554C">
        <w:rPr>
          <w:b/>
          <w:lang w:val="es-MX"/>
        </w:rPr>
        <w:t>CONSIDERANDO</w:t>
      </w:r>
    </w:p>
    <w:p w14:paraId="7EB65D97" w14:textId="77777777" w:rsidR="00160338" w:rsidRPr="0065554C" w:rsidRDefault="00160338" w:rsidP="00160338">
      <w:pPr>
        <w:pStyle w:val="Texto1"/>
        <w:rPr>
          <w:lang w:val="es-MX"/>
        </w:rPr>
      </w:pPr>
      <w:r w:rsidRPr="0065554C">
        <w:rPr>
          <w:lang w:val="es-MX"/>
        </w:rPr>
        <w:tab/>
        <w:t>Que el artículo 1 de la Ley de la Industria Eléctrica establece que ésta tiene por finalidad promover el desarrollo sustentable de la industria eléctrica y garantizar su operación continua, eficiente y segura en beneficio de los usuarios, así como el cumplimiento de las obligaciones de servicio público y universal, de Energías Limpias y de reducción de emisiones contaminantes;</w:t>
      </w:r>
      <w:r w:rsidRPr="0065554C">
        <w:rPr>
          <w:lang w:val="es-MX"/>
        </w:rPr>
        <w:tab/>
      </w:r>
    </w:p>
    <w:p w14:paraId="3531705A" w14:textId="77777777" w:rsidR="00160338" w:rsidRPr="0065554C" w:rsidRDefault="00160338" w:rsidP="00160338">
      <w:pPr>
        <w:pStyle w:val="Texto1"/>
        <w:rPr>
          <w:lang w:val="es-MX"/>
        </w:rPr>
      </w:pPr>
      <w:r w:rsidRPr="0065554C">
        <w:rPr>
          <w:lang w:val="es-MX"/>
        </w:rPr>
        <w:tab/>
        <w:t>Que de conformidad con el artículo 53 de la Ley de la Industria Eléctrica, los Suministradores de Servicios Básicos celebrarán Contratos de Cobertura Eléctrica exclusivamente a través de subastas que llevará a cabo el Centro Nacional de Control de Energía, y que los términos para llevar a cabo dichas subastas y asignar los Contratos de Cobertura Eléctrica respectivos se dispondrán en las Reglas del Mercado;</w:t>
      </w:r>
    </w:p>
    <w:p w14:paraId="44B00855" w14:textId="77777777" w:rsidR="00160338" w:rsidRPr="0065554C" w:rsidRDefault="00160338" w:rsidP="00160338">
      <w:pPr>
        <w:pStyle w:val="Texto1"/>
        <w:rPr>
          <w:lang w:val="es-MX"/>
        </w:rPr>
      </w:pPr>
      <w:r w:rsidRPr="0065554C">
        <w:rPr>
          <w:lang w:val="es-MX"/>
        </w:rPr>
        <w:tab/>
        <w:t xml:space="preserve">Que el artículo 106 de la Ley de la Industria Eléctrica establece que las adquisiciones que las dependencias y entidades de la Administración Pública Federal realicen dentro del Mercado Eléctrico Mayorista y las subastas referidas en dicha ley no se sujetarán ni a la Ley de Adquisiciones, Arrendamientos y Servicios del Sector Público, ni a la Ley de Obras Públicas y Servicios relacionadas con las mismas; </w:t>
      </w:r>
    </w:p>
    <w:p w14:paraId="303C8457" w14:textId="77777777" w:rsidR="00160338" w:rsidRPr="0065554C" w:rsidRDefault="00160338" w:rsidP="00160338">
      <w:pPr>
        <w:pStyle w:val="Texto1"/>
        <w:rPr>
          <w:lang w:val="es-MX"/>
        </w:rPr>
      </w:pPr>
      <w:r w:rsidRPr="0065554C">
        <w:rPr>
          <w:lang w:val="es-MX"/>
        </w:rPr>
        <w:tab/>
        <w:t>Que el 8 de septiembre de 2015 se publicaron en el Diario Oficial de la Federación las Bases del Mercado Eléctrico, mismas que forman parte de las Reglas del Mercado y son el cuerpo normativo integrado por disposiciones administrativas de carácter general que contienen los principios de diseño y operación del Mercado Eléctrico Mayorista, incluyendo las subastas a que se refiere la Ley de la Industria Eléctrica;</w:t>
      </w:r>
    </w:p>
    <w:p w14:paraId="1CADC0D2" w14:textId="77777777" w:rsidR="00160338" w:rsidRPr="0065554C" w:rsidRDefault="00160338" w:rsidP="00160338">
      <w:pPr>
        <w:pStyle w:val="Texto1"/>
        <w:rPr>
          <w:lang w:val="es-MX"/>
        </w:rPr>
      </w:pPr>
      <w:r w:rsidRPr="0065554C">
        <w:rPr>
          <w:lang w:val="es-MX"/>
        </w:rPr>
        <w:tab/>
        <w:t>Que la Base 1.3.6(a)(ii)(A) de las Bases del Mercado Eléctrico establece que las Subastas de Largo Plazo se llevarán a cabo con el objeto de asignar Contratos de Cobertura Eléctrica con una duración de 15 años para Potencia y Energía Eléctrica, y de 20 años para Certificados de Energías Limpias;</w:t>
      </w:r>
    </w:p>
    <w:p w14:paraId="50CAE924" w14:textId="77777777" w:rsidR="00160338" w:rsidRPr="0065554C" w:rsidRDefault="00160338" w:rsidP="00160338">
      <w:pPr>
        <w:pStyle w:val="Texto1"/>
        <w:rPr>
          <w:lang w:val="es-MX"/>
        </w:rPr>
      </w:pPr>
      <w:r w:rsidRPr="0065554C">
        <w:rPr>
          <w:lang w:val="es-MX"/>
        </w:rPr>
        <w:tab/>
        <w:t xml:space="preserve">Que la Base 14.1.7(b) de las Bases del Mercado Eléctrico establece que el propósito de las Subastas de Largo Plazo es fomentar la competitividad y estabilidad de los precios en la adquisición de Potencia y Certificados de Energías Limpias por los Suministradores de Servicios Básicos, y garantizar una fuente estable de pagos que </w:t>
      </w:r>
      <w:r w:rsidRPr="0065554C">
        <w:rPr>
          <w:lang w:val="es-MX"/>
        </w:rPr>
        <w:lastRenderedPageBreak/>
        <w:t>contribuyan a apoyar el financiamiento de las inversiones eficientes requeridas para desarrollar nuevas centrales eléctricas y mantener a las existentes;</w:t>
      </w:r>
    </w:p>
    <w:p w14:paraId="135EF468" w14:textId="77777777" w:rsidR="00160338" w:rsidRPr="0065554C" w:rsidRDefault="00160338" w:rsidP="00160338">
      <w:pPr>
        <w:pStyle w:val="Texto1"/>
        <w:rPr>
          <w:lang w:val="es-MX"/>
        </w:rPr>
      </w:pPr>
      <w:r w:rsidRPr="0065554C">
        <w:rPr>
          <w:lang w:val="es-MX"/>
        </w:rPr>
        <w:tab/>
        <w:t>Que la Base 14.1.4(c) de las Bases del Mercado Eléctrico establece que los Manuales de Prácticas de Mercado establecerán las condiciones que se deberán cumplir para admitir la participación de Entidades Responsables de Carga distintas a los Suministradores de Servicios Básicos en las subastas, y que dichas condiciones podrán incluir el establecimiento de una cámara de compensación;</w:t>
      </w:r>
    </w:p>
    <w:p w14:paraId="3CD2E397" w14:textId="77777777" w:rsidR="00160338" w:rsidRPr="0065554C" w:rsidRDefault="00160338" w:rsidP="00160338">
      <w:pPr>
        <w:pStyle w:val="Texto1"/>
        <w:rPr>
          <w:lang w:val="es-MX"/>
        </w:rPr>
      </w:pPr>
      <w:r w:rsidRPr="0065554C">
        <w:rPr>
          <w:lang w:val="es-MX"/>
        </w:rPr>
        <w:tab/>
        <w:t>Que el 19 de noviembre de 2015 se publicó en el Diario Oficial de la Federación el Manual de Subastas de Largo Plazo, el cual tiene por objeto desarrollar con mayor detalle el contenido de la Base 14 de las Bases del Mercado Eléctrico en lo referente a las Subastas de Largo Plazo, así como establecer los procedimientos, reglas, instrucciones, principios de cálculo, directrices y ejemplos a seguir para llevar a cabo las Subastas de Largo Plazo a que se refiere el artículo 53 de la Ley de la Industria Eléctrica;</w:t>
      </w:r>
    </w:p>
    <w:p w14:paraId="0171FF56" w14:textId="77777777" w:rsidR="00160338" w:rsidRPr="0065554C" w:rsidRDefault="00160338" w:rsidP="00160338">
      <w:pPr>
        <w:pStyle w:val="Texto1"/>
        <w:rPr>
          <w:lang w:val="es-MX"/>
        </w:rPr>
      </w:pPr>
      <w:r w:rsidRPr="0065554C">
        <w:rPr>
          <w:lang w:val="es-MX"/>
        </w:rPr>
        <w:tab/>
        <w:t>Que de acuerdo con lo previsto en el numeral 2.</w:t>
      </w:r>
      <w:r w:rsidR="00FB1622" w:rsidRPr="0065554C">
        <w:rPr>
          <w:lang w:val="es-MX"/>
        </w:rPr>
        <w:t>1</w:t>
      </w:r>
      <w:r w:rsidRPr="0065554C">
        <w:rPr>
          <w:lang w:val="es-MX"/>
        </w:rPr>
        <w:t>.1 del Manual de Subastas de Largo Plazo, las Subastas tendrán por objeto: (a) permitir a los Suministradores de Servicios Básicos celebrar Contratos en forma competitiva y en condiciones de prudencia para satisfacer las necesidades de Potencia, Energía Eléctrica Acumulable y Certificados de Energías Limpias que deban cubrir a través de contratos de largo plazo de acuerdo con los requisitos que para ello establezca la Comisión Reguladora de Energía; (b) permitir a las demás Entidades Responsables de Carga participar en ellas cuando así lo decidan y una vez que se establezca la Cámara de Compensación, a fin de celebrar Contratos para cantidades de Productos en proporción al portafolio de Potencia, Energía Eléctrica Acumulable y Certificados de Energías Limpias que se llegue a obtener para los Suministradores de Servicios Básicos; y, (c) permitir a quienes celebren esos Contratos, en calidad de Vendedores, contar con una fuente estable de pagos que contribuya a apoyar el financiamiento de las inversiones eficientes requeridas para desarrollar nuevas Centrales Eléctricas o para repotenciar las existentes;</w:t>
      </w:r>
    </w:p>
    <w:p w14:paraId="0D5D33CD" w14:textId="77777777" w:rsidR="00160338" w:rsidRPr="0065554C" w:rsidRDefault="00160338" w:rsidP="00160338">
      <w:pPr>
        <w:pStyle w:val="Texto1"/>
        <w:rPr>
          <w:lang w:val="es-ES_tradnl"/>
        </w:rPr>
      </w:pPr>
      <w:r w:rsidRPr="0065554C">
        <w:rPr>
          <w:lang w:val="es-MX"/>
        </w:rPr>
        <w:tab/>
        <w:t>Que de acuerdo con lo previsto en el numeral 3.1.2</w:t>
      </w:r>
      <w:r w:rsidR="00F57DC1" w:rsidRPr="0065554C">
        <w:rPr>
          <w:lang w:val="es-MX"/>
        </w:rPr>
        <w:t>(a)</w:t>
      </w:r>
      <w:r w:rsidRPr="0065554C">
        <w:rPr>
          <w:lang w:val="es-MX"/>
        </w:rPr>
        <w:t xml:space="preserve"> del Manual de Subastas de Largo Plazo, las Entidades Responsables de Carga distintas a los Suministradores de Servicios Básicos podrán participar en las Subastas como Compradores Potenciales siempre y cuando </w:t>
      </w:r>
      <w:r w:rsidRPr="0065554C">
        <w:rPr>
          <w:lang w:val="es-ES_tradnl"/>
        </w:rPr>
        <w:t>la Cámara de Compensación haya quedado establecida y se encuentre en posibilidades de operar;</w:t>
      </w:r>
    </w:p>
    <w:p w14:paraId="26AB9812" w14:textId="3253BC4E" w:rsidR="00AF3A0D" w:rsidRDefault="00160338" w:rsidP="00D62849">
      <w:pPr>
        <w:pStyle w:val="Texto1"/>
        <w:rPr>
          <w:lang w:val="es-MX"/>
        </w:rPr>
      </w:pPr>
      <w:r w:rsidRPr="0065554C">
        <w:rPr>
          <w:lang w:val="es-MX"/>
        </w:rPr>
        <w:tab/>
      </w:r>
      <w:r w:rsidR="00AF3A0D" w:rsidRPr="00B36878">
        <w:rPr>
          <w:lang w:val="es-MX"/>
        </w:rPr>
        <w:t>Que de conformidad con el numeral 5.3.1 del Manual de Subastas de Largo Plazo, la Comisión Reguladora de Energía</w:t>
      </w:r>
      <w:r w:rsidR="00AF3A0D">
        <w:rPr>
          <w:lang w:val="es-MX"/>
        </w:rPr>
        <w:t xml:space="preserve"> tiene la facultad de autorizar las Bases de Licitación de las </w:t>
      </w:r>
      <w:r w:rsidR="00AF3A0D" w:rsidRPr="0065554C">
        <w:rPr>
          <w:lang w:val="es-MX"/>
        </w:rPr>
        <w:t>Subasta</w:t>
      </w:r>
      <w:r w:rsidR="00AF3A0D">
        <w:rPr>
          <w:lang w:val="es-MX"/>
        </w:rPr>
        <w:t>s</w:t>
      </w:r>
      <w:r w:rsidR="00AF3A0D" w:rsidRPr="0065554C">
        <w:rPr>
          <w:lang w:val="es-MX"/>
        </w:rPr>
        <w:t xml:space="preserve"> de Largo Plazo</w:t>
      </w:r>
      <w:r w:rsidR="00AF3A0D">
        <w:rPr>
          <w:lang w:val="es-MX"/>
        </w:rPr>
        <w:t xml:space="preserve"> emitidas por el Centro Nacional de Control de Energía.</w:t>
      </w:r>
      <w:r w:rsidR="00AF3A0D" w:rsidRPr="00D175BE">
        <w:rPr>
          <w:lang w:val="es-MX"/>
        </w:rPr>
        <w:t xml:space="preserve"> </w:t>
      </w:r>
    </w:p>
    <w:p w14:paraId="404EBD9F" w14:textId="0AB9458A" w:rsidR="00D175BE" w:rsidRDefault="00AF3A0D" w:rsidP="00B36878">
      <w:pPr>
        <w:pStyle w:val="Texto1"/>
        <w:rPr>
          <w:lang w:val="es-MX"/>
        </w:rPr>
      </w:pPr>
      <w:r>
        <w:rPr>
          <w:lang w:val="es-MX"/>
        </w:rPr>
        <w:tab/>
      </w:r>
      <w:r w:rsidR="00B36878" w:rsidRPr="00B36878">
        <w:rPr>
          <w:lang w:val="es-MX"/>
        </w:rPr>
        <w:t>Que de conformidad con el numeral 2.5.2. del Manual de Subastas de Largo Plazo</w:t>
      </w:r>
      <w:r w:rsidR="00D175BE">
        <w:rPr>
          <w:lang w:val="es-MX"/>
        </w:rPr>
        <w:t>,</w:t>
      </w:r>
      <w:r w:rsidR="00B36878" w:rsidRPr="00B36878">
        <w:rPr>
          <w:lang w:val="es-MX"/>
        </w:rPr>
        <w:t xml:space="preserve"> el Centro Nacional de Control de Energía remitió a la Comisión Reguladora de Energía </w:t>
      </w:r>
      <w:r w:rsidR="00D175BE">
        <w:rPr>
          <w:lang w:val="es-MX"/>
        </w:rPr>
        <w:t xml:space="preserve">el </w:t>
      </w:r>
      <w:r w:rsidR="00B36878" w:rsidRPr="00B36878">
        <w:rPr>
          <w:lang w:val="es-MX"/>
        </w:rPr>
        <w:t xml:space="preserve">oficio número CENACE/DG/DAMEM/SOMEM/JUPyDT/030/2018 </w:t>
      </w:r>
      <w:r w:rsidR="00D175BE">
        <w:rPr>
          <w:lang w:val="es-MX"/>
        </w:rPr>
        <w:t>emitido el</w:t>
      </w:r>
      <w:r w:rsidR="00B36878" w:rsidRPr="00B36878">
        <w:rPr>
          <w:lang w:val="es-MX"/>
        </w:rPr>
        <w:t xml:space="preserve"> 20 de febrero de</w:t>
      </w:r>
      <w:r w:rsidR="00B36878">
        <w:rPr>
          <w:lang w:val="es-MX"/>
        </w:rPr>
        <w:t xml:space="preserve"> 2018, mediante el cual solicitó</w:t>
      </w:r>
      <w:r w:rsidR="00B36878" w:rsidRPr="00B36878">
        <w:rPr>
          <w:lang w:val="es-MX"/>
        </w:rPr>
        <w:t xml:space="preserve"> la autorización de la versión preliminar de la Convocatoria y de las Bases de Licitación </w:t>
      </w:r>
      <w:r w:rsidR="00D175BE">
        <w:rPr>
          <w:lang w:val="es-MX"/>
        </w:rPr>
        <w:t xml:space="preserve">de la </w:t>
      </w:r>
      <w:r w:rsidR="00D175BE" w:rsidRPr="0065554C">
        <w:rPr>
          <w:lang w:val="es-MX"/>
        </w:rPr>
        <w:t xml:space="preserve">Subasta de Largo Plazo </w:t>
      </w:r>
      <w:r w:rsidR="00B36878" w:rsidRPr="00B36878">
        <w:rPr>
          <w:lang w:val="es-MX"/>
        </w:rPr>
        <w:t>SLP-1/2018</w:t>
      </w:r>
      <w:r w:rsidR="00D175BE">
        <w:rPr>
          <w:lang w:val="es-MX"/>
        </w:rPr>
        <w:t>;</w:t>
      </w:r>
    </w:p>
    <w:p w14:paraId="6A0BF40C" w14:textId="2380888D" w:rsidR="00B36878" w:rsidRPr="00B36878" w:rsidRDefault="00D175BE" w:rsidP="00B36878">
      <w:pPr>
        <w:pStyle w:val="Texto1"/>
        <w:rPr>
          <w:lang w:val="es-MX"/>
        </w:rPr>
      </w:pPr>
      <w:r>
        <w:rPr>
          <w:lang w:val="es-MX"/>
        </w:rPr>
        <w:tab/>
        <w:t>Que mediante oficio número UE-240/21019/2018 emitido el</w:t>
      </w:r>
      <w:r w:rsidRPr="00B36878">
        <w:rPr>
          <w:lang w:val="es-MX"/>
        </w:rPr>
        <w:t xml:space="preserve"> 27 de febrero de 2018</w:t>
      </w:r>
      <w:r>
        <w:rPr>
          <w:lang w:val="es-MX"/>
        </w:rPr>
        <w:t xml:space="preserve">, </w:t>
      </w:r>
      <w:r w:rsidR="00B36878" w:rsidRPr="00B36878">
        <w:rPr>
          <w:lang w:val="es-MX"/>
        </w:rPr>
        <w:t>la Comisión Reguladora de Energía envió al Centro Nacional de Control de Energía comentarios y observaciones sobre las versiones preliminares</w:t>
      </w:r>
      <w:r>
        <w:rPr>
          <w:lang w:val="es-MX"/>
        </w:rPr>
        <w:t xml:space="preserve"> antes referidas;</w:t>
      </w:r>
    </w:p>
    <w:p w14:paraId="679E6937" w14:textId="5343392E" w:rsidR="00B36878" w:rsidRPr="00B36878" w:rsidRDefault="001E2071" w:rsidP="00B36878">
      <w:pPr>
        <w:pStyle w:val="Texto1"/>
        <w:rPr>
          <w:lang w:val="es-MX"/>
        </w:rPr>
      </w:pPr>
      <w:r>
        <w:rPr>
          <w:lang w:val="es-MX"/>
        </w:rPr>
        <w:tab/>
      </w:r>
      <w:r w:rsidR="00D175BE">
        <w:rPr>
          <w:lang w:val="es-MX"/>
        </w:rPr>
        <w:t xml:space="preserve">Que mediante </w:t>
      </w:r>
      <w:r w:rsidR="00D175BE" w:rsidRPr="00B36878">
        <w:rPr>
          <w:lang w:val="es-MX"/>
        </w:rPr>
        <w:t>oficio número CENACE/DG/DAMEM/SOMEM/JUPyDT/040</w:t>
      </w:r>
      <w:r w:rsidR="00D175BE">
        <w:rPr>
          <w:lang w:val="es-MX"/>
        </w:rPr>
        <w:t>/2017 emitido el 1 de marzo de 2018</w:t>
      </w:r>
      <w:r w:rsidR="00B36878" w:rsidRPr="00B36878">
        <w:rPr>
          <w:lang w:val="es-MX"/>
        </w:rPr>
        <w:t xml:space="preserve">, el Centro Nacional de Control de Energía </w:t>
      </w:r>
      <w:r w:rsidR="00D175BE">
        <w:rPr>
          <w:lang w:val="es-MX"/>
        </w:rPr>
        <w:t>solicitó</w:t>
      </w:r>
      <w:r w:rsidR="00D175BE" w:rsidRPr="00B36878">
        <w:rPr>
          <w:lang w:val="es-MX"/>
        </w:rPr>
        <w:t xml:space="preserve"> </w:t>
      </w:r>
      <w:r w:rsidR="00B36878" w:rsidRPr="00B36878">
        <w:rPr>
          <w:lang w:val="es-MX"/>
        </w:rPr>
        <w:t>a la Comisión Reguladora de Energía</w:t>
      </w:r>
      <w:r w:rsidR="00B36878">
        <w:rPr>
          <w:lang w:val="es-MX"/>
        </w:rPr>
        <w:t xml:space="preserve"> </w:t>
      </w:r>
      <w:r w:rsidR="00B36878" w:rsidRPr="00B36878">
        <w:rPr>
          <w:lang w:val="es-MX"/>
        </w:rPr>
        <w:t xml:space="preserve">la autorización correspondiente </w:t>
      </w:r>
      <w:r w:rsidR="00D175BE">
        <w:rPr>
          <w:lang w:val="es-MX"/>
        </w:rPr>
        <w:t>a</w:t>
      </w:r>
      <w:r w:rsidR="00B36878" w:rsidRPr="00B36878">
        <w:rPr>
          <w:lang w:val="es-MX"/>
        </w:rPr>
        <w:t xml:space="preserve"> la Convocatoria y de las Bases de Licitación </w:t>
      </w:r>
      <w:r w:rsidR="00D175BE">
        <w:rPr>
          <w:lang w:val="es-MX"/>
        </w:rPr>
        <w:t xml:space="preserve">de la </w:t>
      </w:r>
      <w:r w:rsidR="00D175BE" w:rsidRPr="0065554C">
        <w:rPr>
          <w:lang w:val="es-MX"/>
        </w:rPr>
        <w:t>Subasta de Largo Plazo</w:t>
      </w:r>
      <w:r w:rsidR="00D175BE" w:rsidRPr="00B36878">
        <w:rPr>
          <w:lang w:val="es-MX"/>
        </w:rPr>
        <w:t xml:space="preserve"> </w:t>
      </w:r>
      <w:r w:rsidR="00B36878" w:rsidRPr="00B36878">
        <w:rPr>
          <w:lang w:val="es-MX"/>
        </w:rPr>
        <w:t>SLP-1/2018</w:t>
      </w:r>
      <w:r w:rsidR="006F5C17">
        <w:rPr>
          <w:lang w:val="es-MX"/>
        </w:rPr>
        <w:t xml:space="preserve">. Al </w:t>
      </w:r>
      <w:r w:rsidR="006F5C17">
        <w:rPr>
          <w:lang w:val="es-MX"/>
        </w:rPr>
        <w:lastRenderedPageBreak/>
        <w:t>respecto,</w:t>
      </w:r>
      <w:r w:rsidR="00B36878" w:rsidRPr="00B36878">
        <w:rPr>
          <w:lang w:val="es-MX"/>
        </w:rPr>
        <w:t xml:space="preserve"> la Comisión Reguladora de Energía emitió el similar UE-240/26791/2018 </w:t>
      </w:r>
      <w:r w:rsidR="006F5C17">
        <w:rPr>
          <w:lang w:val="es-MX"/>
        </w:rPr>
        <w:t>el</w:t>
      </w:r>
      <w:r w:rsidR="00B36878" w:rsidRPr="00B36878">
        <w:rPr>
          <w:lang w:val="es-MX"/>
        </w:rPr>
        <w:t xml:space="preserve"> 8 de marzo de 2018, mediante el cual se instruyó al Centro Nacional de Control de Energía realizar los cambios indicados a los instrumentos citados</w:t>
      </w:r>
      <w:r w:rsidR="006F5C17">
        <w:rPr>
          <w:lang w:val="es-MX"/>
        </w:rPr>
        <w:t>;</w:t>
      </w:r>
    </w:p>
    <w:p w14:paraId="7A0A9C16" w14:textId="0007362B" w:rsidR="006F5C17" w:rsidRDefault="001E2071" w:rsidP="00B36878">
      <w:pPr>
        <w:pStyle w:val="Texto1"/>
        <w:rPr>
          <w:lang w:val="es-MX"/>
        </w:rPr>
      </w:pPr>
      <w:r>
        <w:rPr>
          <w:lang w:val="es-MX"/>
        </w:rPr>
        <w:tab/>
      </w:r>
      <w:r w:rsidR="00B36878">
        <w:rPr>
          <w:lang w:val="es-MX"/>
        </w:rPr>
        <w:t>Derivado de lo anterior</w:t>
      </w:r>
      <w:r w:rsidR="00B36878" w:rsidRPr="00B36878">
        <w:rPr>
          <w:lang w:val="es-MX"/>
        </w:rPr>
        <w:t xml:space="preserve">, el Centro Nacional de Control de Energía remitió a la Comisión Reguladora de Energía </w:t>
      </w:r>
      <w:r w:rsidR="006F5C17">
        <w:rPr>
          <w:lang w:val="es-MX"/>
        </w:rPr>
        <w:t xml:space="preserve">el </w:t>
      </w:r>
      <w:r w:rsidR="00B36878" w:rsidRPr="00B36878">
        <w:rPr>
          <w:lang w:val="es-MX"/>
        </w:rPr>
        <w:t xml:space="preserve">oficio número CENACE/DAMEM/SOMEM/JUPyDT/052/2017 de 12 de marzo </w:t>
      </w:r>
      <w:r w:rsidR="00B36878">
        <w:rPr>
          <w:lang w:val="es-MX"/>
        </w:rPr>
        <w:t xml:space="preserve">de 2018, mediante el cual </w:t>
      </w:r>
      <w:r w:rsidR="006F5C17">
        <w:rPr>
          <w:lang w:val="es-MX"/>
        </w:rPr>
        <w:t xml:space="preserve">manifestó haber </w:t>
      </w:r>
      <w:r w:rsidR="00B36878" w:rsidRPr="00B36878">
        <w:rPr>
          <w:lang w:val="es-MX"/>
        </w:rPr>
        <w:t xml:space="preserve">realizado los cambios </w:t>
      </w:r>
      <w:r w:rsidR="006F5C17">
        <w:rPr>
          <w:lang w:val="es-MX"/>
        </w:rPr>
        <w:t xml:space="preserve">instruidos y </w:t>
      </w:r>
      <w:r w:rsidR="00B36878">
        <w:rPr>
          <w:lang w:val="es-MX"/>
        </w:rPr>
        <w:t>solicitó</w:t>
      </w:r>
      <w:r w:rsidR="00B36878" w:rsidRPr="00B36878">
        <w:rPr>
          <w:lang w:val="es-MX"/>
        </w:rPr>
        <w:t xml:space="preserve"> la autorización de la Convocatoria y de las Bases de Licitación </w:t>
      </w:r>
      <w:r w:rsidR="006F5C17">
        <w:rPr>
          <w:lang w:val="es-MX"/>
        </w:rPr>
        <w:t xml:space="preserve">de la </w:t>
      </w:r>
      <w:r w:rsidR="006F5C17" w:rsidRPr="0065554C">
        <w:rPr>
          <w:lang w:val="es-MX"/>
        </w:rPr>
        <w:t>Subasta de Largo Plazo</w:t>
      </w:r>
      <w:r w:rsidR="006F5C17" w:rsidRPr="00B36878">
        <w:rPr>
          <w:lang w:val="es-MX"/>
        </w:rPr>
        <w:t xml:space="preserve"> </w:t>
      </w:r>
      <w:r w:rsidR="00B36878" w:rsidRPr="00B36878">
        <w:rPr>
          <w:lang w:val="es-MX"/>
        </w:rPr>
        <w:t>SLP-1/2018</w:t>
      </w:r>
      <w:r w:rsidR="006F5C17">
        <w:rPr>
          <w:lang w:val="es-MX"/>
        </w:rPr>
        <w:t>;</w:t>
      </w:r>
      <w:r w:rsidR="00B36878" w:rsidRPr="00B36878">
        <w:rPr>
          <w:lang w:val="es-MX"/>
        </w:rPr>
        <w:t xml:space="preserve"> </w:t>
      </w:r>
    </w:p>
    <w:p w14:paraId="433762A9" w14:textId="6579F26C" w:rsidR="00B36878" w:rsidRPr="00B36878" w:rsidRDefault="00055F9F" w:rsidP="00B36878">
      <w:pPr>
        <w:pStyle w:val="Texto1"/>
        <w:rPr>
          <w:lang w:val="es-MX"/>
        </w:rPr>
      </w:pPr>
      <w:r>
        <w:rPr>
          <w:lang w:val="es-MX"/>
        </w:rPr>
        <w:tab/>
        <w:t xml:space="preserve">Que mediante </w:t>
      </w:r>
      <w:r w:rsidRPr="00B36878">
        <w:rPr>
          <w:lang w:val="es-MX"/>
        </w:rPr>
        <w:t xml:space="preserve">oficio </w:t>
      </w:r>
      <w:r>
        <w:rPr>
          <w:lang w:val="es-MX"/>
        </w:rPr>
        <w:t xml:space="preserve">número </w:t>
      </w:r>
      <w:r w:rsidRPr="00B36878">
        <w:rPr>
          <w:lang w:val="es-MX"/>
        </w:rPr>
        <w:t>UE-240/27993</w:t>
      </w:r>
      <w:r>
        <w:rPr>
          <w:lang w:val="es-MX"/>
        </w:rPr>
        <w:t>/2018 emitido el 13 de marzo de 2018</w:t>
      </w:r>
      <w:r w:rsidR="00B36878" w:rsidRPr="00B36878">
        <w:rPr>
          <w:lang w:val="es-MX"/>
        </w:rPr>
        <w:t xml:space="preserve">, la Comisión Reguladora de Energía, </w:t>
      </w:r>
      <w:r w:rsidR="00B36878">
        <w:rPr>
          <w:lang w:val="es-MX"/>
        </w:rPr>
        <w:t>autorizó</w:t>
      </w:r>
      <w:r w:rsidR="00B36878" w:rsidRPr="00B36878">
        <w:rPr>
          <w:lang w:val="es-MX"/>
        </w:rPr>
        <w:t xml:space="preserve"> la Convocatoria y las Bases de Licitación </w:t>
      </w:r>
      <w:r>
        <w:rPr>
          <w:lang w:val="es-MX"/>
        </w:rPr>
        <w:t xml:space="preserve">de la </w:t>
      </w:r>
      <w:r w:rsidRPr="0065554C">
        <w:rPr>
          <w:lang w:val="es-MX"/>
        </w:rPr>
        <w:t>Subasta de Largo Plazo</w:t>
      </w:r>
      <w:r w:rsidRPr="00B36878">
        <w:rPr>
          <w:lang w:val="es-MX"/>
        </w:rPr>
        <w:t xml:space="preserve"> </w:t>
      </w:r>
      <w:r w:rsidR="00B36878" w:rsidRPr="00B36878">
        <w:rPr>
          <w:lang w:val="es-MX"/>
        </w:rPr>
        <w:t>SLP-1/2018</w:t>
      </w:r>
      <w:r>
        <w:rPr>
          <w:lang w:val="es-MX"/>
        </w:rPr>
        <w:t>;</w:t>
      </w:r>
    </w:p>
    <w:p w14:paraId="5C7C9D64" w14:textId="07C9A4C0" w:rsidR="00AE4D61" w:rsidRDefault="001E2071" w:rsidP="00B36878">
      <w:pPr>
        <w:pStyle w:val="Texto1"/>
        <w:rPr>
          <w:lang w:val="es-MX"/>
        </w:rPr>
      </w:pPr>
      <w:r>
        <w:rPr>
          <w:lang w:val="es-MX"/>
        </w:rPr>
        <w:tab/>
      </w:r>
      <w:r w:rsidR="00AE4D61" w:rsidRPr="0065554C">
        <w:rPr>
          <w:lang w:val="es-MX"/>
        </w:rPr>
        <w:t xml:space="preserve">Que de acuerdo con lo previsto en </w:t>
      </w:r>
      <w:r w:rsidR="00AE4D61" w:rsidRPr="0065554C">
        <w:rPr>
          <w:rFonts w:cstheme="minorHAnsi"/>
          <w:lang w:val="es-MX"/>
        </w:rPr>
        <w:t xml:space="preserve">los artículos 53 y 108 fracciones VIII y XXXIV, de la Ley de la Industria Eléctrica; las Bases 14.1.4(c) y 14.1.6 de las Bases del Mercado Eléctrico, y en los numerales 2.1.1(b), 3.1.2(a), 3.1.2(c), 3.2.1 y 3.2.3 del Manual de Subastas de Largo Plazo, </w:t>
      </w:r>
      <w:r w:rsidR="00AE4D61" w:rsidRPr="0065554C">
        <w:rPr>
          <w:lang w:val="es-MX"/>
        </w:rPr>
        <w:t>el 13 de marzo de 2018 el Centro Nacional de Control de E</w:t>
      </w:r>
      <w:r w:rsidR="00AE4D61">
        <w:rPr>
          <w:lang w:val="es-MX"/>
        </w:rPr>
        <w:t>nergía publicó en su página web</w:t>
      </w:r>
      <w:r w:rsidR="00AE4D61" w:rsidRPr="0065554C">
        <w:rPr>
          <w:lang w:val="es-MX"/>
        </w:rPr>
        <w:t xml:space="preserve"> el aviso mediante el cual se hizo del conocimiento de los Interesados en participar en la Subasta de Largo Plazo SLP-1/2018</w:t>
      </w:r>
      <w:r w:rsidR="00AE4D61">
        <w:rPr>
          <w:lang w:val="es-MX"/>
        </w:rPr>
        <w:t>;</w:t>
      </w:r>
    </w:p>
    <w:p w14:paraId="24BFEA29" w14:textId="0487B7AF" w:rsidR="00055F9F" w:rsidRDefault="00AE4D61" w:rsidP="00B36878">
      <w:pPr>
        <w:pStyle w:val="Texto1"/>
        <w:rPr>
          <w:lang w:val="es-MX"/>
        </w:rPr>
      </w:pPr>
      <w:r>
        <w:rPr>
          <w:lang w:val="es-MX"/>
        </w:rPr>
        <w:tab/>
      </w:r>
      <w:r w:rsidR="00055F9F" w:rsidRPr="0065554C">
        <w:rPr>
          <w:lang w:val="es-MX"/>
        </w:rPr>
        <w:t>Que el 15 de marzo de 2018 se publicó en la página web del Centro Nacional de Control de Energía, en la página web de la Secretaria de Energía y en la página web de la Comisión Reguladora de Energía la Convocatoria a la Subasta de Largo Plazo SLP-1/2018, en la cual se establece que la subasta se llevará a cabo con la finalidad de asignar Contratos de Cobertura Eléctrica para la compraventa de Potencia, Energía Eléctrica Acumulable y Certificados de Energías Limpias, y que la Fecha de Operación Comercial Estándar para los Contratos de Cobertura Eléctrica que sean asignados a través de la Subasta será el 1 de enero de 2021;</w:t>
      </w:r>
    </w:p>
    <w:p w14:paraId="3ED0B4A7" w14:textId="2FD7F1EC" w:rsidR="00B36878" w:rsidRPr="00B36878" w:rsidRDefault="00055F9F" w:rsidP="00B36878">
      <w:pPr>
        <w:pStyle w:val="Texto1"/>
        <w:rPr>
          <w:lang w:val="es-MX"/>
        </w:rPr>
      </w:pPr>
      <w:r>
        <w:rPr>
          <w:lang w:val="es-MX"/>
        </w:rPr>
        <w:tab/>
      </w:r>
      <w:r w:rsidR="00B36878" w:rsidRPr="00B36878">
        <w:rPr>
          <w:lang w:val="es-MX"/>
        </w:rPr>
        <w:t xml:space="preserve">Que de conformidad con el numeral 5.4.1 del Manual de Subastas de Largo Plazo, se establece que por lo menos se llevará a cabo una junta de aclaraciones, la cual tendrá por objeto recibir y atender preguntas o aclaraciones de cualquier interesado relacionadas con las Bases de Licitación </w:t>
      </w:r>
      <w:r>
        <w:rPr>
          <w:lang w:val="es-MX"/>
        </w:rPr>
        <w:t xml:space="preserve">de la </w:t>
      </w:r>
      <w:r w:rsidRPr="0065554C">
        <w:rPr>
          <w:lang w:val="es-MX"/>
        </w:rPr>
        <w:t>Subasta de Largo Plazo</w:t>
      </w:r>
      <w:r w:rsidRPr="00B36878">
        <w:rPr>
          <w:lang w:val="es-MX"/>
        </w:rPr>
        <w:t xml:space="preserve"> </w:t>
      </w:r>
      <w:r w:rsidR="00B36878" w:rsidRPr="00B36878">
        <w:rPr>
          <w:lang w:val="es-MX"/>
        </w:rPr>
        <w:t>SLP-1/2018</w:t>
      </w:r>
      <w:r>
        <w:rPr>
          <w:lang w:val="es-MX"/>
        </w:rPr>
        <w:t xml:space="preserve">. Al respecto, </w:t>
      </w:r>
      <w:r w:rsidR="00B36878" w:rsidRPr="00B36878">
        <w:rPr>
          <w:lang w:val="es-MX"/>
        </w:rPr>
        <w:t>el Centro Naci</w:t>
      </w:r>
      <w:r w:rsidR="00B36878">
        <w:rPr>
          <w:lang w:val="es-MX"/>
        </w:rPr>
        <w:t xml:space="preserve">onal de Control de Energía </w:t>
      </w:r>
      <w:r>
        <w:rPr>
          <w:lang w:val="es-MX"/>
        </w:rPr>
        <w:t xml:space="preserve">llevó a cabo </w:t>
      </w:r>
      <w:r w:rsidR="00B36878" w:rsidRPr="00B36878">
        <w:rPr>
          <w:lang w:val="es-MX"/>
        </w:rPr>
        <w:t>una junta de aclaraciones del 23 de abril al 11 de mayo de 2018</w:t>
      </w:r>
      <w:r>
        <w:rPr>
          <w:lang w:val="es-MX"/>
        </w:rPr>
        <w:t>;</w:t>
      </w:r>
    </w:p>
    <w:p w14:paraId="271D75CD" w14:textId="495E82A1" w:rsidR="00B36878" w:rsidRDefault="001E2071" w:rsidP="00B36878">
      <w:pPr>
        <w:pStyle w:val="Texto1"/>
        <w:rPr>
          <w:lang w:val="es-MX"/>
        </w:rPr>
      </w:pPr>
      <w:r>
        <w:rPr>
          <w:lang w:val="es-MX"/>
        </w:rPr>
        <w:tab/>
      </w:r>
      <w:r w:rsidR="00B36878" w:rsidRPr="00B36878">
        <w:rPr>
          <w:lang w:val="es-MX"/>
        </w:rPr>
        <w:t>Que el numeral 5.3.9 del Manual de Subastas de Largo Plazo</w:t>
      </w:r>
      <w:r w:rsidR="00055F9F">
        <w:rPr>
          <w:lang w:val="es-MX"/>
        </w:rPr>
        <w:t xml:space="preserve"> establece que</w:t>
      </w:r>
      <w:r w:rsidR="00B36878">
        <w:rPr>
          <w:lang w:val="es-MX"/>
        </w:rPr>
        <w:t xml:space="preserve"> de la junta de aclaraciones pueden resultar aclaraciones o modificaciones a las Bases de Licitación</w:t>
      </w:r>
      <w:r w:rsidR="00055F9F">
        <w:rPr>
          <w:lang w:val="es-MX"/>
        </w:rPr>
        <w:t>;</w:t>
      </w:r>
    </w:p>
    <w:p w14:paraId="6E1A94DD" w14:textId="01BEFE7A" w:rsidR="005F4F1C" w:rsidRDefault="00547A1C">
      <w:pPr>
        <w:pStyle w:val="Texto1"/>
        <w:rPr>
          <w:lang w:val="es-MX"/>
        </w:rPr>
      </w:pPr>
      <w:r>
        <w:rPr>
          <w:lang w:val="es-MX"/>
        </w:rPr>
        <w:tab/>
      </w:r>
      <w:r w:rsidRPr="00547A1C">
        <w:rPr>
          <w:lang w:val="es-MX"/>
        </w:rPr>
        <w:t>Que de conformidad con el numeral 2.5.2. del Manual de Subastas de Largo Plazo, el Centro Nacional de Control de Ene</w:t>
      </w:r>
      <w:r w:rsidRPr="00140072">
        <w:rPr>
          <w:lang w:val="es-MX"/>
        </w:rPr>
        <w:t xml:space="preserve">rgía remitió a la Comisión Reguladora de Energía los oficios número CENACE/DAMEM/SOEMM/JUPyDT/0104/2018 y </w:t>
      </w:r>
      <w:r w:rsidRPr="00547A1C">
        <w:rPr>
          <w:lang w:val="es-MX"/>
        </w:rPr>
        <w:t>CENACE/DAMEM/326/2018 emitidos el 18 y 30 de mayo de 2018, respectivamente, mediante los cuales solicitó la autorización de la versión final de las Bases de Licitación de la Subasta de Largo Plazo SLP-1/2018, con excepción de los Modelos de Contrato de Cobertura Eléctrica para Compradores y Vendedores;</w:t>
      </w:r>
    </w:p>
    <w:p w14:paraId="4865B219" w14:textId="144B74C5" w:rsidR="00B36878" w:rsidRPr="00B36878" w:rsidRDefault="00AF3A0D" w:rsidP="00B36878">
      <w:pPr>
        <w:pStyle w:val="Texto1"/>
        <w:rPr>
          <w:lang w:val="es-MX"/>
        </w:rPr>
      </w:pPr>
      <w:r>
        <w:rPr>
          <w:lang w:val="es-MX"/>
        </w:rPr>
        <w:tab/>
      </w:r>
      <w:r w:rsidR="00055F9F">
        <w:rPr>
          <w:lang w:val="es-MX"/>
        </w:rPr>
        <w:t xml:space="preserve">Que mediante oficio número </w:t>
      </w:r>
      <w:r w:rsidR="00055F9F" w:rsidRPr="00140072">
        <w:rPr>
          <w:lang w:val="es-MX"/>
        </w:rPr>
        <w:t>UE-240/</w:t>
      </w:r>
      <w:r w:rsidR="00140072" w:rsidRPr="00140072">
        <w:rPr>
          <w:lang w:val="es-MX"/>
        </w:rPr>
        <w:t>46100</w:t>
      </w:r>
      <w:r w:rsidR="00055F9F" w:rsidRPr="00140072">
        <w:rPr>
          <w:lang w:val="es-MX"/>
        </w:rPr>
        <w:t>/2018</w:t>
      </w:r>
      <w:r w:rsidR="00055F9F" w:rsidRPr="00B36878">
        <w:rPr>
          <w:lang w:val="es-MX"/>
        </w:rPr>
        <w:t xml:space="preserve"> </w:t>
      </w:r>
      <w:r w:rsidR="00055F9F">
        <w:rPr>
          <w:lang w:val="es-MX"/>
        </w:rPr>
        <w:t xml:space="preserve">emitido </w:t>
      </w:r>
      <w:r w:rsidR="00055F9F" w:rsidRPr="00547A1C">
        <w:rPr>
          <w:lang w:val="es-MX"/>
        </w:rPr>
        <w:t xml:space="preserve">el </w:t>
      </w:r>
      <w:r w:rsidR="00547A1C" w:rsidRPr="00140072">
        <w:rPr>
          <w:lang w:val="es-MX"/>
        </w:rPr>
        <w:t>31</w:t>
      </w:r>
      <w:r w:rsidR="00055F9F" w:rsidRPr="00547A1C">
        <w:rPr>
          <w:lang w:val="es-MX"/>
        </w:rPr>
        <w:t xml:space="preserve"> de</w:t>
      </w:r>
      <w:r w:rsidR="00547A1C" w:rsidRPr="00547A1C">
        <w:rPr>
          <w:lang w:val="es-MX"/>
        </w:rPr>
        <w:t xml:space="preserve"> mayo</w:t>
      </w:r>
      <w:r w:rsidR="00055F9F" w:rsidRPr="00B36878">
        <w:rPr>
          <w:lang w:val="es-MX"/>
        </w:rPr>
        <w:t xml:space="preserve"> de 2018</w:t>
      </w:r>
      <w:r w:rsidR="00055F9F">
        <w:rPr>
          <w:lang w:val="es-MX"/>
        </w:rPr>
        <w:t xml:space="preserve">, </w:t>
      </w:r>
      <w:r w:rsidR="00B36878" w:rsidRPr="00B36878">
        <w:rPr>
          <w:lang w:val="es-MX"/>
        </w:rPr>
        <w:t xml:space="preserve">la Comisión Reguladora de Energía </w:t>
      </w:r>
      <w:r w:rsidR="00055F9F">
        <w:rPr>
          <w:lang w:val="es-MX"/>
        </w:rPr>
        <w:t xml:space="preserve">autorizó </w:t>
      </w:r>
      <w:r w:rsidR="00B36878" w:rsidRPr="00B36878">
        <w:rPr>
          <w:lang w:val="es-MX"/>
        </w:rPr>
        <w:t xml:space="preserve">al Centro Nacional de Control de Energía </w:t>
      </w:r>
      <w:r>
        <w:rPr>
          <w:lang w:val="es-MX"/>
        </w:rPr>
        <w:t xml:space="preserve">la versión final de las </w:t>
      </w:r>
      <w:r w:rsidRPr="00B36878">
        <w:rPr>
          <w:lang w:val="es-MX"/>
        </w:rPr>
        <w:t xml:space="preserve">Bases de Licitación </w:t>
      </w:r>
      <w:r>
        <w:rPr>
          <w:lang w:val="es-MX"/>
        </w:rPr>
        <w:t xml:space="preserve">de la </w:t>
      </w:r>
      <w:r w:rsidRPr="0065554C">
        <w:rPr>
          <w:lang w:val="es-MX"/>
        </w:rPr>
        <w:t>Subasta de Largo Plazo</w:t>
      </w:r>
      <w:r w:rsidRPr="00B36878">
        <w:rPr>
          <w:lang w:val="es-MX"/>
        </w:rPr>
        <w:t xml:space="preserve"> SLP-1/2018</w:t>
      </w:r>
      <w:r w:rsidR="005F4F1C">
        <w:rPr>
          <w:lang w:val="es-MX"/>
        </w:rPr>
        <w:t>, con excepción de los Modelos de Contrato</w:t>
      </w:r>
      <w:r w:rsidR="00547A1C">
        <w:rPr>
          <w:lang w:val="es-MX"/>
        </w:rPr>
        <w:t xml:space="preserve"> de Cobertura Eléctrica para Compradores y Vendedores</w:t>
      </w:r>
      <w:r w:rsidR="00AE4D61">
        <w:rPr>
          <w:lang w:val="es-MX"/>
        </w:rPr>
        <w:t>;</w:t>
      </w:r>
      <w:r w:rsidR="00B36878" w:rsidRPr="00B36878">
        <w:rPr>
          <w:lang w:val="es-MX"/>
        </w:rPr>
        <w:t xml:space="preserve"> </w:t>
      </w:r>
    </w:p>
    <w:p w14:paraId="51ADC0EB" w14:textId="65330D3D" w:rsidR="00B32271" w:rsidRPr="0065554C" w:rsidRDefault="001E2071" w:rsidP="00D175BE">
      <w:pPr>
        <w:pStyle w:val="Texto1"/>
        <w:rPr>
          <w:lang w:val="es-MX"/>
        </w:rPr>
      </w:pPr>
      <w:r>
        <w:rPr>
          <w:lang w:val="es-MX"/>
        </w:rPr>
        <w:tab/>
      </w:r>
      <w:r w:rsidR="00D175BE" w:rsidRPr="00D175BE">
        <w:rPr>
          <w:lang w:val="es-MX"/>
        </w:rPr>
        <w:t xml:space="preserve"> </w:t>
      </w:r>
      <w:r w:rsidR="00D175BE" w:rsidRPr="0065554C">
        <w:rPr>
          <w:lang w:val="es-MX"/>
        </w:rPr>
        <w:t xml:space="preserve">Que el numeral 5.3.1 del Manual de Subastas de Largo Plazo establece que las Bases de Licitación para las subastas de largo plazo serán emitidas por el Centro Nacional de Control de Energía conforme al </w:t>
      </w:r>
      <w:r w:rsidR="00D175BE" w:rsidRPr="0065554C">
        <w:rPr>
          <w:lang w:val="es-MX"/>
        </w:rPr>
        <w:lastRenderedPageBreak/>
        <w:t>procedimiento previsto en el numeral 2.5.2 y deberán cumplir con lo previsto en la Ley de la Industria Eléctrica, su Reglamento, las Bases del Mercado Eléctrico y el propio Manual de Subastas de Largo Plazo;</w:t>
      </w:r>
    </w:p>
    <w:p w14:paraId="11CEDA34" w14:textId="050EFD78" w:rsidR="00B32271" w:rsidRPr="00AE4D61" w:rsidRDefault="00F65C2F" w:rsidP="00AE4D61">
      <w:pPr>
        <w:pStyle w:val="Texto1"/>
        <w:jc w:val="center"/>
        <w:rPr>
          <w:b/>
          <w:lang w:val="es-MX"/>
        </w:rPr>
      </w:pPr>
      <w:r w:rsidRPr="00AE4D61">
        <w:rPr>
          <w:b/>
          <w:lang w:val="es-MX"/>
        </w:rPr>
        <w:t>ACUERDA</w:t>
      </w:r>
    </w:p>
    <w:p w14:paraId="7940CA22" w14:textId="3D6C9B53" w:rsidR="00F65C2F" w:rsidRDefault="00F65C2F" w:rsidP="00F65C2F">
      <w:pPr>
        <w:pStyle w:val="Texto1"/>
        <w:rPr>
          <w:lang w:val="es-MX"/>
        </w:rPr>
      </w:pPr>
      <w:r w:rsidRPr="00AE4D61">
        <w:rPr>
          <w:b/>
          <w:lang w:val="es-MX"/>
        </w:rPr>
        <w:t>PRIMERO.</w:t>
      </w:r>
      <w:r>
        <w:rPr>
          <w:lang w:val="es-MX"/>
        </w:rPr>
        <w:t xml:space="preserve"> Se emite la versión final de las Bases de </w:t>
      </w:r>
      <w:r w:rsidRPr="00F65C2F">
        <w:rPr>
          <w:lang w:val="es-MX"/>
        </w:rPr>
        <w:t xml:space="preserve">Licitación </w:t>
      </w:r>
      <w:r w:rsidR="00024FF0">
        <w:rPr>
          <w:lang w:val="es-MX"/>
        </w:rPr>
        <w:t xml:space="preserve">de la Subasta de Largo </w:t>
      </w:r>
      <w:r w:rsidR="00024FF0" w:rsidRPr="00547A1C">
        <w:rPr>
          <w:lang w:val="es-MX"/>
        </w:rPr>
        <w:t xml:space="preserve">Plazo </w:t>
      </w:r>
      <w:r w:rsidRPr="00547A1C">
        <w:rPr>
          <w:lang w:val="es-MX"/>
        </w:rPr>
        <w:t xml:space="preserve">SLP-1/2018, con </w:t>
      </w:r>
      <w:r w:rsidR="00547A1C" w:rsidRPr="00547A1C">
        <w:rPr>
          <w:lang w:val="es-MX"/>
        </w:rPr>
        <w:t>excepción de los Modelos de Contrato de Cobertura Eléctrica para Compradores y Vendedores.</w:t>
      </w:r>
    </w:p>
    <w:p w14:paraId="6C7AC48B" w14:textId="585F13C7" w:rsidR="00F65C2F" w:rsidRPr="00F65C2F" w:rsidRDefault="00F65C2F" w:rsidP="00F65C2F">
      <w:pPr>
        <w:pStyle w:val="Texto1"/>
        <w:rPr>
          <w:lang w:val="es-MX"/>
        </w:rPr>
      </w:pPr>
      <w:r w:rsidRPr="00AE4D61">
        <w:rPr>
          <w:b/>
          <w:lang w:val="es-MX"/>
        </w:rPr>
        <w:t>SEGUNDO.</w:t>
      </w:r>
      <w:r>
        <w:rPr>
          <w:lang w:val="es-MX"/>
        </w:rPr>
        <w:t xml:space="preserve"> Publicar el presente Acuerdo y su contenido en los sitios donde se haya</w:t>
      </w:r>
      <w:r w:rsidR="00D175BE">
        <w:rPr>
          <w:lang w:val="es-MX"/>
        </w:rPr>
        <w:t>n</w:t>
      </w:r>
      <w:r>
        <w:rPr>
          <w:lang w:val="es-MX"/>
        </w:rPr>
        <w:t xml:space="preserve"> publicado por primera vez las Bases de Licitación </w:t>
      </w:r>
      <w:r w:rsidRPr="00F65C2F">
        <w:rPr>
          <w:lang w:val="es-MX"/>
        </w:rPr>
        <w:t>SLP-1/2018</w:t>
      </w:r>
      <w:r>
        <w:rPr>
          <w:lang w:val="es-MX"/>
        </w:rPr>
        <w:t>, en la fecha que establezca el Calendario de la Subasta contenido en las propias Bases de Licitaci</w:t>
      </w:r>
      <w:r w:rsidR="007C110C">
        <w:rPr>
          <w:lang w:val="es-MX"/>
        </w:rPr>
        <w:t xml:space="preserve">ón </w:t>
      </w:r>
      <w:r w:rsidR="00024FF0">
        <w:rPr>
          <w:lang w:val="es-MX"/>
        </w:rPr>
        <w:t xml:space="preserve">de la Subasta de Largo Plazo </w:t>
      </w:r>
      <w:r w:rsidR="007C110C">
        <w:rPr>
          <w:lang w:val="es-MX"/>
        </w:rPr>
        <w:t>SLP-1/2018, de conformidad con el numeral 5.3.6 del Manual de Subastas de Largo Plazo.</w:t>
      </w:r>
    </w:p>
    <w:p w14:paraId="3FB77AC0" w14:textId="7CB5EBA6" w:rsidR="0016408B" w:rsidRDefault="0016408B" w:rsidP="00F65C2F">
      <w:pPr>
        <w:pStyle w:val="Texto1"/>
        <w:rPr>
          <w:lang w:val="es-MX"/>
        </w:rPr>
      </w:pPr>
    </w:p>
    <w:p w14:paraId="6A1E31F1" w14:textId="77777777" w:rsidR="0016408B" w:rsidRPr="00F65C2F" w:rsidRDefault="0016408B" w:rsidP="00F65C2F">
      <w:pPr>
        <w:pStyle w:val="Texto1"/>
        <w:rPr>
          <w:lang w:val="es-MX"/>
        </w:rPr>
      </w:pPr>
    </w:p>
    <w:p w14:paraId="45F119FD" w14:textId="77777777" w:rsidR="00160338" w:rsidRPr="0065554C" w:rsidRDefault="00160338" w:rsidP="00160338">
      <w:pPr>
        <w:pStyle w:val="Texto1"/>
        <w:rPr>
          <w:lang w:val="es-MX"/>
        </w:rPr>
      </w:pPr>
    </w:p>
    <w:p w14:paraId="4D7ECA10" w14:textId="77777777" w:rsidR="00160338" w:rsidRPr="0065554C" w:rsidRDefault="00160338" w:rsidP="00160338">
      <w:pPr>
        <w:pStyle w:val="Texto1"/>
        <w:jc w:val="center"/>
        <w:rPr>
          <w:b/>
          <w:lang w:val="es-MX"/>
        </w:rPr>
      </w:pPr>
      <w:r w:rsidRPr="0065554C">
        <w:rPr>
          <w:b/>
          <w:lang w:val="es-MX"/>
        </w:rPr>
        <w:t>_________________________________________________</w:t>
      </w:r>
    </w:p>
    <w:p w14:paraId="141AA8C6" w14:textId="77777777" w:rsidR="00160338" w:rsidRPr="0065554C" w:rsidRDefault="00160338" w:rsidP="00160338">
      <w:pPr>
        <w:pStyle w:val="Texto1"/>
        <w:jc w:val="center"/>
        <w:rPr>
          <w:b/>
          <w:lang w:val="es-MX"/>
        </w:rPr>
      </w:pPr>
      <w:r w:rsidRPr="0065554C">
        <w:rPr>
          <w:b/>
          <w:lang w:val="es-MX"/>
        </w:rPr>
        <w:t xml:space="preserve">Ing. </w:t>
      </w:r>
      <w:r w:rsidR="00D144C4" w:rsidRPr="0065554C">
        <w:rPr>
          <w:b/>
          <w:lang w:val="es-MX"/>
        </w:rPr>
        <w:t>Jesús Ávila Camarena</w:t>
      </w:r>
    </w:p>
    <w:p w14:paraId="5DC9690D" w14:textId="77777777" w:rsidR="00160338" w:rsidRPr="0065554C" w:rsidRDefault="00D144C4" w:rsidP="00160338">
      <w:pPr>
        <w:pStyle w:val="Texto1"/>
        <w:jc w:val="center"/>
        <w:rPr>
          <w:b/>
          <w:lang w:val="es-MX"/>
        </w:rPr>
      </w:pPr>
      <w:r w:rsidRPr="0065554C">
        <w:rPr>
          <w:b/>
          <w:lang w:val="es-MX"/>
        </w:rPr>
        <w:t>Jefe de Unidad de Planeación y Derechos de Transmisión</w:t>
      </w:r>
      <w:r w:rsidR="00160338" w:rsidRPr="0065554C">
        <w:rPr>
          <w:b/>
          <w:lang w:val="es-MX"/>
        </w:rPr>
        <w:t xml:space="preserve"> del</w:t>
      </w:r>
      <w:r w:rsidR="00160338" w:rsidRPr="0065554C">
        <w:rPr>
          <w:b/>
          <w:lang w:val="es-MX"/>
        </w:rPr>
        <w:br/>
        <w:t xml:space="preserve">Centro Nacional de Control de Energía </w:t>
      </w:r>
      <w:r w:rsidR="00160338" w:rsidRPr="0065554C">
        <w:rPr>
          <w:b/>
          <w:lang w:val="es-MX"/>
        </w:rPr>
        <w:br w:type="page"/>
      </w:r>
    </w:p>
    <w:p w14:paraId="12D00F9C" w14:textId="77777777" w:rsidR="00160338" w:rsidRPr="0065554C" w:rsidRDefault="00160338">
      <w:pPr>
        <w:pStyle w:val="TDC1"/>
        <w:jc w:val="center"/>
      </w:pPr>
      <w:r w:rsidRPr="0065554C">
        <w:lastRenderedPageBreak/>
        <w:br/>
        <w:t>CONTENIDO DE LAS BASES DE LICITACIÓN DE LA SUBASTA DE LARGO PLAZO SLP-1/201</w:t>
      </w:r>
      <w:r w:rsidR="00D144C4" w:rsidRPr="0065554C">
        <w:t>8</w:t>
      </w:r>
    </w:p>
    <w:p w14:paraId="52F39F20" w14:textId="77777777" w:rsidR="008641E7" w:rsidRPr="0065554C" w:rsidRDefault="00696AD2">
      <w:pPr>
        <w:pStyle w:val="TDC1"/>
        <w:rPr>
          <w:rFonts w:cstheme="minorBidi"/>
          <w:b w:val="0"/>
          <w:sz w:val="22"/>
          <w:szCs w:val="22"/>
          <w:lang w:val="es-MX" w:eastAsia="es-MX" w:bidi="ar-SA"/>
        </w:rPr>
      </w:pPr>
      <w:r w:rsidRPr="0065554C">
        <w:fldChar w:fldCharType="begin"/>
      </w:r>
      <w:r w:rsidR="00160338" w:rsidRPr="0065554C">
        <w:instrText xml:space="preserve"> TOC \o "1-3" \h \z \t "Capítulo,1,Sección,2,Subsección,3" </w:instrText>
      </w:r>
      <w:r w:rsidRPr="0065554C">
        <w:fldChar w:fldCharType="separate"/>
      </w:r>
      <w:hyperlink w:anchor="_Toc509412990" w:history="1">
        <w:r w:rsidR="008641E7" w:rsidRPr="0065554C">
          <w:rPr>
            <w:rStyle w:val="Hipervnculo"/>
            <w:color w:val="auto"/>
            <w:lang w:bidi="x-none"/>
            <w14:scene3d>
              <w14:camera w14:prst="orthographicFront"/>
              <w14:lightRig w14:rig="threePt" w14:dir="t">
                <w14:rot w14:lat="0" w14:lon="0" w14:rev="0"/>
              </w14:lightRig>
            </w14:scene3d>
          </w:rPr>
          <w:t>CAPÍTULO 1</w:t>
        </w:r>
        <w:r w:rsidR="008641E7" w:rsidRPr="0065554C">
          <w:rPr>
            <w:rStyle w:val="Hipervnculo"/>
            <w:color w:val="auto"/>
          </w:rPr>
          <w:t xml:space="preserve"> Generalidades</w:t>
        </w:r>
        <w:r w:rsidR="008641E7" w:rsidRPr="0065554C">
          <w:rPr>
            <w:webHidden/>
          </w:rPr>
          <w:tab/>
        </w:r>
        <w:r w:rsidR="008641E7" w:rsidRPr="0065554C">
          <w:rPr>
            <w:webHidden/>
          </w:rPr>
          <w:fldChar w:fldCharType="begin"/>
        </w:r>
        <w:r w:rsidR="008641E7" w:rsidRPr="0065554C">
          <w:rPr>
            <w:webHidden/>
          </w:rPr>
          <w:instrText xml:space="preserve"> PAGEREF _Toc509412990 \h </w:instrText>
        </w:r>
        <w:r w:rsidR="008641E7" w:rsidRPr="0065554C">
          <w:rPr>
            <w:webHidden/>
          </w:rPr>
        </w:r>
        <w:r w:rsidR="008641E7" w:rsidRPr="0065554C">
          <w:rPr>
            <w:webHidden/>
          </w:rPr>
          <w:fldChar w:fldCharType="separate"/>
        </w:r>
        <w:r w:rsidR="009F3E59" w:rsidRPr="0065554C">
          <w:rPr>
            <w:webHidden/>
          </w:rPr>
          <w:t>1</w:t>
        </w:r>
        <w:r w:rsidR="008641E7" w:rsidRPr="0065554C">
          <w:rPr>
            <w:webHidden/>
          </w:rPr>
          <w:fldChar w:fldCharType="end"/>
        </w:r>
      </w:hyperlink>
    </w:p>
    <w:p w14:paraId="672C6517" w14:textId="77777777" w:rsidR="008641E7" w:rsidRPr="0065554C" w:rsidRDefault="00140072">
      <w:pPr>
        <w:pStyle w:val="TDC2"/>
        <w:rPr>
          <w:rFonts w:cstheme="minorBidi"/>
          <w:snapToGrid/>
          <w:w w:val="100"/>
          <w:sz w:val="22"/>
          <w:lang w:bidi="ar-SA"/>
        </w:rPr>
      </w:pPr>
      <w:hyperlink w:anchor="_Toc509412991" w:history="1">
        <w:r w:rsidR="008641E7" w:rsidRPr="0065554C">
          <w:rPr>
            <w:rStyle w:val="Hipervnculo"/>
            <w:rFonts w:ascii="Calibri" w:hAnsi="Calibri"/>
            <w:color w:val="auto"/>
          </w:rPr>
          <w:t>1.1</w:t>
        </w:r>
        <w:r w:rsidR="008641E7" w:rsidRPr="0065554C">
          <w:rPr>
            <w:rFonts w:cstheme="minorBidi"/>
            <w:snapToGrid/>
            <w:w w:val="100"/>
            <w:sz w:val="22"/>
            <w:lang w:bidi="ar-SA"/>
          </w:rPr>
          <w:tab/>
        </w:r>
        <w:r w:rsidR="008641E7" w:rsidRPr="0065554C">
          <w:rPr>
            <w:rStyle w:val="Hipervnculo"/>
            <w:color w:val="auto"/>
          </w:rPr>
          <w:t>Introducción</w:t>
        </w:r>
        <w:r w:rsidR="008641E7" w:rsidRPr="0065554C">
          <w:rPr>
            <w:webHidden/>
          </w:rPr>
          <w:tab/>
        </w:r>
        <w:r w:rsidR="008641E7" w:rsidRPr="0065554C">
          <w:rPr>
            <w:webHidden/>
          </w:rPr>
          <w:fldChar w:fldCharType="begin"/>
        </w:r>
        <w:r w:rsidR="008641E7" w:rsidRPr="0065554C">
          <w:rPr>
            <w:webHidden/>
          </w:rPr>
          <w:instrText xml:space="preserve"> PAGEREF _Toc509412991 \h </w:instrText>
        </w:r>
        <w:r w:rsidR="008641E7" w:rsidRPr="0065554C">
          <w:rPr>
            <w:webHidden/>
          </w:rPr>
        </w:r>
        <w:r w:rsidR="008641E7" w:rsidRPr="0065554C">
          <w:rPr>
            <w:webHidden/>
          </w:rPr>
          <w:fldChar w:fldCharType="separate"/>
        </w:r>
        <w:r w:rsidR="009F3E59" w:rsidRPr="0065554C">
          <w:rPr>
            <w:webHidden/>
          </w:rPr>
          <w:t>1</w:t>
        </w:r>
        <w:r w:rsidR="008641E7" w:rsidRPr="0065554C">
          <w:rPr>
            <w:webHidden/>
          </w:rPr>
          <w:fldChar w:fldCharType="end"/>
        </w:r>
      </w:hyperlink>
    </w:p>
    <w:p w14:paraId="2D2F14B9" w14:textId="77777777" w:rsidR="008641E7" w:rsidRPr="0065554C" w:rsidRDefault="00140072">
      <w:pPr>
        <w:pStyle w:val="TDC2"/>
        <w:rPr>
          <w:rFonts w:cstheme="minorBidi"/>
          <w:snapToGrid/>
          <w:w w:val="100"/>
          <w:sz w:val="22"/>
          <w:lang w:bidi="ar-SA"/>
        </w:rPr>
      </w:pPr>
      <w:hyperlink w:anchor="_Toc509412992" w:history="1">
        <w:r w:rsidR="008641E7" w:rsidRPr="0065554C">
          <w:rPr>
            <w:rStyle w:val="Hipervnculo"/>
            <w:rFonts w:ascii="Calibri" w:hAnsi="Calibri"/>
            <w:color w:val="auto"/>
          </w:rPr>
          <w:t>1.2</w:t>
        </w:r>
        <w:r w:rsidR="008641E7" w:rsidRPr="0065554C">
          <w:rPr>
            <w:rFonts w:cstheme="minorBidi"/>
            <w:snapToGrid/>
            <w:w w:val="100"/>
            <w:sz w:val="22"/>
            <w:lang w:bidi="ar-SA"/>
          </w:rPr>
          <w:tab/>
        </w:r>
        <w:r w:rsidR="008641E7" w:rsidRPr="0065554C">
          <w:rPr>
            <w:rStyle w:val="Hipervnculo"/>
            <w:color w:val="auto"/>
          </w:rPr>
          <w:t>Términos definidos</w:t>
        </w:r>
        <w:r w:rsidR="008641E7" w:rsidRPr="0065554C">
          <w:rPr>
            <w:webHidden/>
          </w:rPr>
          <w:tab/>
        </w:r>
        <w:r w:rsidR="008641E7" w:rsidRPr="0065554C">
          <w:rPr>
            <w:webHidden/>
          </w:rPr>
          <w:fldChar w:fldCharType="begin"/>
        </w:r>
        <w:r w:rsidR="008641E7" w:rsidRPr="0065554C">
          <w:rPr>
            <w:webHidden/>
          </w:rPr>
          <w:instrText xml:space="preserve"> PAGEREF _Toc509412992 \h </w:instrText>
        </w:r>
        <w:r w:rsidR="008641E7" w:rsidRPr="0065554C">
          <w:rPr>
            <w:webHidden/>
          </w:rPr>
        </w:r>
        <w:r w:rsidR="008641E7" w:rsidRPr="0065554C">
          <w:rPr>
            <w:webHidden/>
          </w:rPr>
          <w:fldChar w:fldCharType="separate"/>
        </w:r>
        <w:r w:rsidR="009F3E59" w:rsidRPr="0065554C">
          <w:rPr>
            <w:webHidden/>
          </w:rPr>
          <w:t>3</w:t>
        </w:r>
        <w:r w:rsidR="008641E7" w:rsidRPr="0065554C">
          <w:rPr>
            <w:webHidden/>
          </w:rPr>
          <w:fldChar w:fldCharType="end"/>
        </w:r>
      </w:hyperlink>
    </w:p>
    <w:p w14:paraId="023AD03B" w14:textId="77777777" w:rsidR="008641E7" w:rsidRPr="0065554C" w:rsidRDefault="00140072">
      <w:pPr>
        <w:pStyle w:val="TDC2"/>
        <w:rPr>
          <w:rFonts w:cstheme="minorBidi"/>
          <w:snapToGrid/>
          <w:w w:val="100"/>
          <w:sz w:val="22"/>
          <w:lang w:bidi="ar-SA"/>
        </w:rPr>
      </w:pPr>
      <w:hyperlink w:anchor="_Toc509412993" w:history="1">
        <w:r w:rsidR="008641E7" w:rsidRPr="0065554C">
          <w:rPr>
            <w:rStyle w:val="Hipervnculo"/>
            <w:rFonts w:ascii="Calibri" w:hAnsi="Calibri"/>
            <w:color w:val="auto"/>
          </w:rPr>
          <w:t>1.3</w:t>
        </w:r>
        <w:r w:rsidR="008641E7" w:rsidRPr="0065554C">
          <w:rPr>
            <w:rFonts w:cstheme="minorBidi"/>
            <w:snapToGrid/>
            <w:w w:val="100"/>
            <w:sz w:val="22"/>
            <w:lang w:bidi="ar-SA"/>
          </w:rPr>
          <w:tab/>
        </w:r>
        <w:r w:rsidR="008641E7" w:rsidRPr="0065554C">
          <w:rPr>
            <w:rStyle w:val="Hipervnculo"/>
            <w:color w:val="auto"/>
          </w:rPr>
          <w:t>Reglas de interpretación</w:t>
        </w:r>
        <w:r w:rsidR="008641E7" w:rsidRPr="0065554C">
          <w:rPr>
            <w:webHidden/>
          </w:rPr>
          <w:tab/>
        </w:r>
        <w:r w:rsidR="008641E7" w:rsidRPr="0065554C">
          <w:rPr>
            <w:webHidden/>
          </w:rPr>
          <w:fldChar w:fldCharType="begin"/>
        </w:r>
        <w:r w:rsidR="008641E7" w:rsidRPr="0065554C">
          <w:rPr>
            <w:webHidden/>
          </w:rPr>
          <w:instrText xml:space="preserve"> PAGEREF _Toc509412993 \h </w:instrText>
        </w:r>
        <w:r w:rsidR="008641E7" w:rsidRPr="0065554C">
          <w:rPr>
            <w:webHidden/>
          </w:rPr>
        </w:r>
        <w:r w:rsidR="008641E7" w:rsidRPr="0065554C">
          <w:rPr>
            <w:webHidden/>
          </w:rPr>
          <w:fldChar w:fldCharType="separate"/>
        </w:r>
        <w:r w:rsidR="009F3E59" w:rsidRPr="0065554C">
          <w:rPr>
            <w:webHidden/>
          </w:rPr>
          <w:t>6</w:t>
        </w:r>
        <w:r w:rsidR="008641E7" w:rsidRPr="0065554C">
          <w:rPr>
            <w:webHidden/>
          </w:rPr>
          <w:fldChar w:fldCharType="end"/>
        </w:r>
      </w:hyperlink>
    </w:p>
    <w:p w14:paraId="255324CD" w14:textId="77777777" w:rsidR="008641E7" w:rsidRPr="0065554C" w:rsidRDefault="00140072">
      <w:pPr>
        <w:pStyle w:val="TDC1"/>
        <w:rPr>
          <w:rFonts w:cstheme="minorBidi"/>
          <w:b w:val="0"/>
          <w:sz w:val="22"/>
          <w:szCs w:val="22"/>
          <w:lang w:val="es-MX" w:eastAsia="es-MX" w:bidi="ar-SA"/>
        </w:rPr>
      </w:pPr>
      <w:hyperlink w:anchor="_Toc509412994" w:history="1">
        <w:r w:rsidR="008641E7" w:rsidRPr="0065554C">
          <w:rPr>
            <w:rStyle w:val="Hipervnculo"/>
            <w:color w:val="auto"/>
            <w:lang w:bidi="x-none"/>
            <w14:scene3d>
              <w14:camera w14:prst="orthographicFront"/>
              <w14:lightRig w14:rig="threePt" w14:dir="t">
                <w14:rot w14:lat="0" w14:lon="0" w14:rev="0"/>
              </w14:lightRig>
            </w14:scene3d>
          </w:rPr>
          <w:t>CAPÍTULO 2</w:t>
        </w:r>
        <w:r w:rsidR="008641E7" w:rsidRPr="0065554C">
          <w:rPr>
            <w:rStyle w:val="Hipervnculo"/>
            <w:color w:val="auto"/>
          </w:rPr>
          <w:t xml:space="preserve"> Características de la Subasta</w:t>
        </w:r>
        <w:r w:rsidR="008641E7" w:rsidRPr="0065554C">
          <w:rPr>
            <w:webHidden/>
          </w:rPr>
          <w:tab/>
        </w:r>
        <w:r w:rsidR="008641E7" w:rsidRPr="0065554C">
          <w:rPr>
            <w:webHidden/>
          </w:rPr>
          <w:fldChar w:fldCharType="begin"/>
        </w:r>
        <w:r w:rsidR="008641E7" w:rsidRPr="0065554C">
          <w:rPr>
            <w:webHidden/>
          </w:rPr>
          <w:instrText xml:space="preserve"> PAGEREF _Toc509412994 \h </w:instrText>
        </w:r>
        <w:r w:rsidR="008641E7" w:rsidRPr="0065554C">
          <w:rPr>
            <w:webHidden/>
          </w:rPr>
        </w:r>
        <w:r w:rsidR="008641E7" w:rsidRPr="0065554C">
          <w:rPr>
            <w:webHidden/>
          </w:rPr>
          <w:fldChar w:fldCharType="separate"/>
        </w:r>
        <w:r w:rsidR="009F3E59" w:rsidRPr="0065554C">
          <w:rPr>
            <w:webHidden/>
          </w:rPr>
          <w:t>8</w:t>
        </w:r>
        <w:r w:rsidR="008641E7" w:rsidRPr="0065554C">
          <w:rPr>
            <w:webHidden/>
          </w:rPr>
          <w:fldChar w:fldCharType="end"/>
        </w:r>
      </w:hyperlink>
    </w:p>
    <w:p w14:paraId="01B79D40" w14:textId="77777777" w:rsidR="008641E7" w:rsidRPr="0065554C" w:rsidRDefault="00140072">
      <w:pPr>
        <w:pStyle w:val="TDC2"/>
        <w:rPr>
          <w:rFonts w:cstheme="minorBidi"/>
          <w:snapToGrid/>
          <w:w w:val="100"/>
          <w:sz w:val="22"/>
          <w:lang w:bidi="ar-SA"/>
        </w:rPr>
      </w:pPr>
      <w:hyperlink w:anchor="_Toc509412995" w:history="1">
        <w:r w:rsidR="008641E7" w:rsidRPr="0065554C">
          <w:rPr>
            <w:rStyle w:val="Hipervnculo"/>
            <w:rFonts w:ascii="Calibri" w:hAnsi="Calibri"/>
            <w:color w:val="auto"/>
          </w:rPr>
          <w:t>2.1</w:t>
        </w:r>
        <w:r w:rsidR="008641E7" w:rsidRPr="0065554C">
          <w:rPr>
            <w:rFonts w:cstheme="minorBidi"/>
            <w:snapToGrid/>
            <w:w w:val="100"/>
            <w:sz w:val="22"/>
            <w:lang w:bidi="ar-SA"/>
          </w:rPr>
          <w:tab/>
        </w:r>
        <w:r w:rsidR="008641E7" w:rsidRPr="0065554C">
          <w:rPr>
            <w:rStyle w:val="Hipervnculo"/>
            <w:color w:val="auto"/>
          </w:rPr>
          <w:t>Objeto</w:t>
        </w:r>
        <w:r w:rsidR="008641E7" w:rsidRPr="0065554C">
          <w:rPr>
            <w:webHidden/>
          </w:rPr>
          <w:tab/>
        </w:r>
        <w:r w:rsidR="008641E7" w:rsidRPr="0065554C">
          <w:rPr>
            <w:webHidden/>
          </w:rPr>
          <w:fldChar w:fldCharType="begin"/>
        </w:r>
        <w:r w:rsidR="008641E7" w:rsidRPr="0065554C">
          <w:rPr>
            <w:webHidden/>
          </w:rPr>
          <w:instrText xml:space="preserve"> PAGEREF _Toc509412995 \h </w:instrText>
        </w:r>
        <w:r w:rsidR="008641E7" w:rsidRPr="0065554C">
          <w:rPr>
            <w:webHidden/>
          </w:rPr>
        </w:r>
        <w:r w:rsidR="008641E7" w:rsidRPr="0065554C">
          <w:rPr>
            <w:webHidden/>
          </w:rPr>
          <w:fldChar w:fldCharType="separate"/>
        </w:r>
        <w:r w:rsidR="009F3E59" w:rsidRPr="0065554C">
          <w:rPr>
            <w:webHidden/>
          </w:rPr>
          <w:t>8</w:t>
        </w:r>
        <w:r w:rsidR="008641E7" w:rsidRPr="0065554C">
          <w:rPr>
            <w:webHidden/>
          </w:rPr>
          <w:fldChar w:fldCharType="end"/>
        </w:r>
      </w:hyperlink>
    </w:p>
    <w:p w14:paraId="7C186362" w14:textId="77777777" w:rsidR="008641E7" w:rsidRPr="0065554C" w:rsidRDefault="00140072">
      <w:pPr>
        <w:pStyle w:val="TDC2"/>
        <w:rPr>
          <w:rFonts w:cstheme="minorBidi"/>
          <w:snapToGrid/>
          <w:w w:val="100"/>
          <w:sz w:val="22"/>
          <w:lang w:bidi="ar-SA"/>
        </w:rPr>
      </w:pPr>
      <w:hyperlink w:anchor="_Toc509412996" w:history="1">
        <w:r w:rsidR="008641E7" w:rsidRPr="0065554C">
          <w:rPr>
            <w:rStyle w:val="Hipervnculo"/>
            <w:rFonts w:ascii="Calibri" w:hAnsi="Calibri"/>
            <w:color w:val="auto"/>
          </w:rPr>
          <w:t>2.2</w:t>
        </w:r>
        <w:r w:rsidR="008641E7" w:rsidRPr="0065554C">
          <w:rPr>
            <w:rFonts w:cstheme="minorBidi"/>
            <w:snapToGrid/>
            <w:w w:val="100"/>
            <w:sz w:val="22"/>
            <w:lang w:bidi="ar-SA"/>
          </w:rPr>
          <w:tab/>
        </w:r>
        <w:r w:rsidR="008641E7" w:rsidRPr="0065554C">
          <w:rPr>
            <w:rStyle w:val="Hipervnculo"/>
            <w:color w:val="auto"/>
          </w:rPr>
          <w:t>Descripción de los Productos</w:t>
        </w:r>
        <w:r w:rsidR="008641E7" w:rsidRPr="0065554C">
          <w:rPr>
            <w:webHidden/>
          </w:rPr>
          <w:tab/>
        </w:r>
        <w:r w:rsidR="008641E7" w:rsidRPr="0065554C">
          <w:rPr>
            <w:webHidden/>
          </w:rPr>
          <w:fldChar w:fldCharType="begin"/>
        </w:r>
        <w:r w:rsidR="008641E7" w:rsidRPr="0065554C">
          <w:rPr>
            <w:webHidden/>
          </w:rPr>
          <w:instrText xml:space="preserve"> PAGEREF _Toc509412996 \h </w:instrText>
        </w:r>
        <w:r w:rsidR="008641E7" w:rsidRPr="0065554C">
          <w:rPr>
            <w:webHidden/>
          </w:rPr>
        </w:r>
        <w:r w:rsidR="008641E7" w:rsidRPr="0065554C">
          <w:rPr>
            <w:webHidden/>
          </w:rPr>
          <w:fldChar w:fldCharType="separate"/>
        </w:r>
        <w:r w:rsidR="009F3E59" w:rsidRPr="0065554C">
          <w:rPr>
            <w:webHidden/>
          </w:rPr>
          <w:t>8</w:t>
        </w:r>
        <w:r w:rsidR="008641E7" w:rsidRPr="0065554C">
          <w:rPr>
            <w:webHidden/>
          </w:rPr>
          <w:fldChar w:fldCharType="end"/>
        </w:r>
      </w:hyperlink>
    </w:p>
    <w:p w14:paraId="4EA99D37" w14:textId="77777777" w:rsidR="008641E7" w:rsidRPr="0065554C" w:rsidRDefault="00140072">
      <w:pPr>
        <w:pStyle w:val="TDC2"/>
        <w:rPr>
          <w:rFonts w:cstheme="minorBidi"/>
          <w:snapToGrid/>
          <w:w w:val="100"/>
          <w:sz w:val="22"/>
          <w:lang w:bidi="ar-SA"/>
        </w:rPr>
      </w:pPr>
      <w:hyperlink w:anchor="_Toc509412997" w:history="1">
        <w:r w:rsidR="008641E7" w:rsidRPr="0065554C">
          <w:rPr>
            <w:rStyle w:val="Hipervnculo"/>
            <w:rFonts w:ascii="Calibri" w:hAnsi="Calibri"/>
            <w:color w:val="auto"/>
          </w:rPr>
          <w:t>2.3</w:t>
        </w:r>
        <w:r w:rsidR="008641E7" w:rsidRPr="0065554C">
          <w:rPr>
            <w:rFonts w:cstheme="minorBidi"/>
            <w:snapToGrid/>
            <w:w w:val="100"/>
            <w:sz w:val="22"/>
            <w:lang w:bidi="ar-SA"/>
          </w:rPr>
          <w:tab/>
        </w:r>
        <w:r w:rsidR="008641E7" w:rsidRPr="0065554C">
          <w:rPr>
            <w:rStyle w:val="Hipervnculo"/>
            <w:color w:val="auto"/>
          </w:rPr>
          <w:t>Información técnica</w:t>
        </w:r>
        <w:r w:rsidR="008641E7" w:rsidRPr="0065554C">
          <w:rPr>
            <w:webHidden/>
          </w:rPr>
          <w:tab/>
        </w:r>
        <w:r w:rsidR="008641E7" w:rsidRPr="0065554C">
          <w:rPr>
            <w:webHidden/>
          </w:rPr>
          <w:fldChar w:fldCharType="begin"/>
        </w:r>
        <w:r w:rsidR="008641E7" w:rsidRPr="0065554C">
          <w:rPr>
            <w:webHidden/>
          </w:rPr>
          <w:instrText xml:space="preserve"> PAGEREF _Toc509412997 \h </w:instrText>
        </w:r>
        <w:r w:rsidR="008641E7" w:rsidRPr="0065554C">
          <w:rPr>
            <w:webHidden/>
          </w:rPr>
        </w:r>
        <w:r w:rsidR="008641E7" w:rsidRPr="0065554C">
          <w:rPr>
            <w:webHidden/>
          </w:rPr>
          <w:fldChar w:fldCharType="separate"/>
        </w:r>
        <w:r w:rsidR="009F3E59" w:rsidRPr="0065554C">
          <w:rPr>
            <w:webHidden/>
          </w:rPr>
          <w:t>9</w:t>
        </w:r>
        <w:r w:rsidR="008641E7" w:rsidRPr="0065554C">
          <w:rPr>
            <w:webHidden/>
          </w:rPr>
          <w:fldChar w:fldCharType="end"/>
        </w:r>
      </w:hyperlink>
    </w:p>
    <w:p w14:paraId="5C012610" w14:textId="77777777" w:rsidR="008641E7" w:rsidRPr="0065554C" w:rsidRDefault="00140072">
      <w:pPr>
        <w:pStyle w:val="TDC1"/>
        <w:rPr>
          <w:rFonts w:cstheme="minorBidi"/>
          <w:b w:val="0"/>
          <w:sz w:val="22"/>
          <w:szCs w:val="22"/>
          <w:lang w:val="es-MX" w:eastAsia="es-MX" w:bidi="ar-SA"/>
        </w:rPr>
      </w:pPr>
      <w:hyperlink w:anchor="_Toc509412998" w:history="1">
        <w:r w:rsidR="008641E7" w:rsidRPr="0065554C">
          <w:rPr>
            <w:rStyle w:val="Hipervnculo"/>
            <w:color w:val="auto"/>
            <w:lang w:bidi="x-none"/>
            <w14:scene3d>
              <w14:camera w14:prst="orthographicFront"/>
              <w14:lightRig w14:rig="threePt" w14:dir="t">
                <w14:rot w14:lat="0" w14:lon="0" w14:rev="0"/>
              </w14:lightRig>
            </w14:scene3d>
          </w:rPr>
          <w:t>CAPÍTULO 3</w:t>
        </w:r>
        <w:r w:rsidR="008641E7" w:rsidRPr="0065554C">
          <w:rPr>
            <w:rStyle w:val="Hipervnculo"/>
            <w:color w:val="auto"/>
          </w:rPr>
          <w:t xml:space="preserve"> Procedimiento y reglas de la Subasta</w:t>
        </w:r>
        <w:r w:rsidR="008641E7" w:rsidRPr="0065554C">
          <w:rPr>
            <w:webHidden/>
          </w:rPr>
          <w:tab/>
        </w:r>
        <w:r w:rsidR="008641E7" w:rsidRPr="0065554C">
          <w:rPr>
            <w:webHidden/>
          </w:rPr>
          <w:fldChar w:fldCharType="begin"/>
        </w:r>
        <w:r w:rsidR="008641E7" w:rsidRPr="0065554C">
          <w:rPr>
            <w:webHidden/>
          </w:rPr>
          <w:instrText xml:space="preserve"> PAGEREF _Toc509412998 \h </w:instrText>
        </w:r>
        <w:r w:rsidR="008641E7" w:rsidRPr="0065554C">
          <w:rPr>
            <w:webHidden/>
          </w:rPr>
        </w:r>
        <w:r w:rsidR="008641E7" w:rsidRPr="0065554C">
          <w:rPr>
            <w:webHidden/>
          </w:rPr>
          <w:fldChar w:fldCharType="separate"/>
        </w:r>
        <w:r w:rsidR="009F3E59" w:rsidRPr="0065554C">
          <w:rPr>
            <w:webHidden/>
          </w:rPr>
          <w:t>16</w:t>
        </w:r>
        <w:r w:rsidR="008641E7" w:rsidRPr="0065554C">
          <w:rPr>
            <w:webHidden/>
          </w:rPr>
          <w:fldChar w:fldCharType="end"/>
        </w:r>
      </w:hyperlink>
    </w:p>
    <w:p w14:paraId="331E20E9" w14:textId="77777777" w:rsidR="008641E7" w:rsidRPr="0065554C" w:rsidRDefault="00140072">
      <w:pPr>
        <w:pStyle w:val="TDC2"/>
        <w:rPr>
          <w:rFonts w:cstheme="minorBidi"/>
          <w:snapToGrid/>
          <w:w w:val="100"/>
          <w:sz w:val="22"/>
          <w:lang w:bidi="ar-SA"/>
        </w:rPr>
      </w:pPr>
      <w:hyperlink w:anchor="_Toc509412999" w:history="1">
        <w:r w:rsidR="008641E7" w:rsidRPr="0065554C">
          <w:rPr>
            <w:rStyle w:val="Hipervnculo"/>
            <w:rFonts w:ascii="Calibri" w:hAnsi="Calibri"/>
            <w:color w:val="auto"/>
          </w:rPr>
          <w:t>3.1</w:t>
        </w:r>
        <w:r w:rsidR="008641E7" w:rsidRPr="0065554C">
          <w:rPr>
            <w:rFonts w:cstheme="minorBidi"/>
            <w:snapToGrid/>
            <w:w w:val="100"/>
            <w:sz w:val="22"/>
            <w:lang w:bidi="ar-SA"/>
          </w:rPr>
          <w:tab/>
        </w:r>
        <w:r w:rsidR="008641E7" w:rsidRPr="0065554C">
          <w:rPr>
            <w:rStyle w:val="Hipervnculo"/>
            <w:color w:val="auto"/>
          </w:rPr>
          <w:t>Calendario de actividades</w:t>
        </w:r>
        <w:r w:rsidR="008641E7" w:rsidRPr="0065554C">
          <w:rPr>
            <w:webHidden/>
          </w:rPr>
          <w:tab/>
        </w:r>
        <w:r w:rsidR="008641E7" w:rsidRPr="0065554C">
          <w:rPr>
            <w:webHidden/>
          </w:rPr>
          <w:fldChar w:fldCharType="begin"/>
        </w:r>
        <w:r w:rsidR="008641E7" w:rsidRPr="0065554C">
          <w:rPr>
            <w:webHidden/>
          </w:rPr>
          <w:instrText xml:space="preserve"> PAGEREF _Toc509412999 \h </w:instrText>
        </w:r>
        <w:r w:rsidR="008641E7" w:rsidRPr="0065554C">
          <w:rPr>
            <w:webHidden/>
          </w:rPr>
        </w:r>
        <w:r w:rsidR="008641E7" w:rsidRPr="0065554C">
          <w:rPr>
            <w:webHidden/>
          </w:rPr>
          <w:fldChar w:fldCharType="separate"/>
        </w:r>
        <w:r w:rsidR="009F3E59" w:rsidRPr="0065554C">
          <w:rPr>
            <w:webHidden/>
          </w:rPr>
          <w:t>16</w:t>
        </w:r>
        <w:r w:rsidR="008641E7" w:rsidRPr="0065554C">
          <w:rPr>
            <w:webHidden/>
          </w:rPr>
          <w:fldChar w:fldCharType="end"/>
        </w:r>
      </w:hyperlink>
    </w:p>
    <w:p w14:paraId="25E1501B" w14:textId="77777777" w:rsidR="008641E7" w:rsidRPr="0065554C" w:rsidRDefault="00140072">
      <w:pPr>
        <w:pStyle w:val="TDC2"/>
        <w:rPr>
          <w:rFonts w:cstheme="minorBidi"/>
          <w:snapToGrid/>
          <w:w w:val="100"/>
          <w:sz w:val="22"/>
          <w:lang w:bidi="ar-SA"/>
        </w:rPr>
      </w:pPr>
      <w:hyperlink w:anchor="_Toc509413000" w:history="1">
        <w:r w:rsidR="008641E7" w:rsidRPr="0065554C">
          <w:rPr>
            <w:rStyle w:val="Hipervnculo"/>
            <w:rFonts w:ascii="Calibri" w:hAnsi="Calibri"/>
            <w:color w:val="auto"/>
          </w:rPr>
          <w:t>3.2</w:t>
        </w:r>
        <w:r w:rsidR="008641E7" w:rsidRPr="0065554C">
          <w:rPr>
            <w:rFonts w:cstheme="minorBidi"/>
            <w:snapToGrid/>
            <w:w w:val="100"/>
            <w:sz w:val="22"/>
            <w:lang w:bidi="ar-SA"/>
          </w:rPr>
          <w:tab/>
        </w:r>
        <w:r w:rsidR="008641E7" w:rsidRPr="0065554C">
          <w:rPr>
            <w:rStyle w:val="Hipervnculo"/>
            <w:color w:val="auto"/>
          </w:rPr>
          <w:t>Aspectos Generales</w:t>
        </w:r>
        <w:r w:rsidR="008641E7" w:rsidRPr="0065554C">
          <w:rPr>
            <w:webHidden/>
          </w:rPr>
          <w:tab/>
        </w:r>
        <w:r w:rsidR="008641E7" w:rsidRPr="0065554C">
          <w:rPr>
            <w:webHidden/>
          </w:rPr>
          <w:fldChar w:fldCharType="begin"/>
        </w:r>
        <w:r w:rsidR="008641E7" w:rsidRPr="0065554C">
          <w:rPr>
            <w:webHidden/>
          </w:rPr>
          <w:instrText xml:space="preserve"> PAGEREF _Toc509413000 \h </w:instrText>
        </w:r>
        <w:r w:rsidR="008641E7" w:rsidRPr="0065554C">
          <w:rPr>
            <w:webHidden/>
          </w:rPr>
        </w:r>
        <w:r w:rsidR="008641E7" w:rsidRPr="0065554C">
          <w:rPr>
            <w:webHidden/>
          </w:rPr>
          <w:fldChar w:fldCharType="separate"/>
        </w:r>
        <w:r w:rsidR="009F3E59" w:rsidRPr="0065554C">
          <w:rPr>
            <w:webHidden/>
          </w:rPr>
          <w:t>16</w:t>
        </w:r>
        <w:r w:rsidR="008641E7" w:rsidRPr="0065554C">
          <w:rPr>
            <w:webHidden/>
          </w:rPr>
          <w:fldChar w:fldCharType="end"/>
        </w:r>
      </w:hyperlink>
    </w:p>
    <w:p w14:paraId="4FCADDE5" w14:textId="77777777" w:rsidR="008641E7" w:rsidRPr="0065554C" w:rsidRDefault="00140072">
      <w:pPr>
        <w:pStyle w:val="TDC2"/>
        <w:rPr>
          <w:rFonts w:cstheme="minorBidi"/>
          <w:snapToGrid/>
          <w:w w:val="100"/>
          <w:sz w:val="22"/>
          <w:lang w:bidi="ar-SA"/>
        </w:rPr>
      </w:pPr>
      <w:hyperlink w:anchor="_Toc509413001" w:history="1">
        <w:r w:rsidR="008641E7" w:rsidRPr="0065554C">
          <w:rPr>
            <w:rStyle w:val="Hipervnculo"/>
            <w:rFonts w:ascii="Calibri" w:hAnsi="Calibri"/>
            <w:color w:val="auto"/>
          </w:rPr>
          <w:t>3.3</w:t>
        </w:r>
        <w:r w:rsidR="008641E7" w:rsidRPr="0065554C">
          <w:rPr>
            <w:rFonts w:cstheme="minorBidi"/>
            <w:snapToGrid/>
            <w:w w:val="100"/>
            <w:sz w:val="22"/>
            <w:lang w:bidi="ar-SA"/>
          </w:rPr>
          <w:tab/>
        </w:r>
        <w:r w:rsidR="008641E7" w:rsidRPr="0065554C">
          <w:rPr>
            <w:rStyle w:val="Hipervnculo"/>
            <w:color w:val="auto"/>
          </w:rPr>
          <w:t>Personas que podrán participar en la Subasta</w:t>
        </w:r>
        <w:r w:rsidR="008641E7" w:rsidRPr="0065554C">
          <w:rPr>
            <w:webHidden/>
          </w:rPr>
          <w:tab/>
        </w:r>
        <w:r w:rsidR="008641E7" w:rsidRPr="0065554C">
          <w:rPr>
            <w:webHidden/>
          </w:rPr>
          <w:fldChar w:fldCharType="begin"/>
        </w:r>
        <w:r w:rsidR="008641E7" w:rsidRPr="0065554C">
          <w:rPr>
            <w:webHidden/>
          </w:rPr>
          <w:instrText xml:space="preserve"> PAGEREF _Toc509413001 \h </w:instrText>
        </w:r>
        <w:r w:rsidR="008641E7" w:rsidRPr="0065554C">
          <w:rPr>
            <w:webHidden/>
          </w:rPr>
        </w:r>
        <w:r w:rsidR="008641E7" w:rsidRPr="0065554C">
          <w:rPr>
            <w:webHidden/>
          </w:rPr>
          <w:fldChar w:fldCharType="separate"/>
        </w:r>
        <w:r w:rsidR="009F3E59" w:rsidRPr="0065554C">
          <w:rPr>
            <w:webHidden/>
          </w:rPr>
          <w:t>19</w:t>
        </w:r>
        <w:r w:rsidR="008641E7" w:rsidRPr="0065554C">
          <w:rPr>
            <w:webHidden/>
          </w:rPr>
          <w:fldChar w:fldCharType="end"/>
        </w:r>
      </w:hyperlink>
    </w:p>
    <w:p w14:paraId="34AF7BF9" w14:textId="77777777" w:rsidR="008641E7" w:rsidRPr="0065554C" w:rsidRDefault="00140072">
      <w:pPr>
        <w:pStyle w:val="TDC2"/>
        <w:rPr>
          <w:rFonts w:cstheme="minorBidi"/>
          <w:snapToGrid/>
          <w:w w:val="100"/>
          <w:sz w:val="22"/>
          <w:lang w:bidi="ar-SA"/>
        </w:rPr>
      </w:pPr>
      <w:hyperlink w:anchor="_Toc509413002" w:history="1">
        <w:r w:rsidR="008641E7" w:rsidRPr="0065554C">
          <w:rPr>
            <w:rStyle w:val="Hipervnculo"/>
            <w:rFonts w:ascii="Calibri" w:hAnsi="Calibri"/>
            <w:color w:val="auto"/>
          </w:rPr>
          <w:t>3.4</w:t>
        </w:r>
        <w:r w:rsidR="008641E7" w:rsidRPr="0065554C">
          <w:rPr>
            <w:rFonts w:cstheme="minorBidi"/>
            <w:snapToGrid/>
            <w:w w:val="100"/>
            <w:sz w:val="22"/>
            <w:lang w:bidi="ar-SA"/>
          </w:rPr>
          <w:tab/>
        </w:r>
        <w:r w:rsidR="008641E7" w:rsidRPr="0065554C">
          <w:rPr>
            <w:rStyle w:val="Hipervnculo"/>
            <w:color w:val="auto"/>
          </w:rPr>
          <w:t>Personas que no podrán participar en la Subasta</w:t>
        </w:r>
        <w:r w:rsidR="008641E7" w:rsidRPr="0065554C">
          <w:rPr>
            <w:webHidden/>
          </w:rPr>
          <w:tab/>
        </w:r>
        <w:r w:rsidR="008641E7" w:rsidRPr="0065554C">
          <w:rPr>
            <w:webHidden/>
          </w:rPr>
          <w:fldChar w:fldCharType="begin"/>
        </w:r>
        <w:r w:rsidR="008641E7" w:rsidRPr="0065554C">
          <w:rPr>
            <w:webHidden/>
          </w:rPr>
          <w:instrText xml:space="preserve"> PAGEREF _Toc509413002 \h </w:instrText>
        </w:r>
        <w:r w:rsidR="008641E7" w:rsidRPr="0065554C">
          <w:rPr>
            <w:webHidden/>
          </w:rPr>
        </w:r>
        <w:r w:rsidR="008641E7" w:rsidRPr="0065554C">
          <w:rPr>
            <w:webHidden/>
          </w:rPr>
          <w:fldChar w:fldCharType="separate"/>
        </w:r>
        <w:r w:rsidR="009F3E59" w:rsidRPr="0065554C">
          <w:rPr>
            <w:webHidden/>
          </w:rPr>
          <w:t>20</w:t>
        </w:r>
        <w:r w:rsidR="008641E7" w:rsidRPr="0065554C">
          <w:rPr>
            <w:webHidden/>
          </w:rPr>
          <w:fldChar w:fldCharType="end"/>
        </w:r>
      </w:hyperlink>
    </w:p>
    <w:p w14:paraId="4B33DADF" w14:textId="77777777" w:rsidR="008641E7" w:rsidRPr="0065554C" w:rsidRDefault="00140072">
      <w:pPr>
        <w:pStyle w:val="TDC2"/>
        <w:rPr>
          <w:rFonts w:cstheme="minorBidi"/>
          <w:snapToGrid/>
          <w:w w:val="100"/>
          <w:sz w:val="22"/>
          <w:lang w:bidi="ar-SA"/>
        </w:rPr>
      </w:pPr>
      <w:hyperlink w:anchor="_Toc509413003" w:history="1">
        <w:r w:rsidR="008641E7" w:rsidRPr="0065554C">
          <w:rPr>
            <w:rStyle w:val="Hipervnculo"/>
            <w:rFonts w:ascii="Calibri" w:hAnsi="Calibri"/>
            <w:color w:val="auto"/>
          </w:rPr>
          <w:t>3.5</w:t>
        </w:r>
        <w:r w:rsidR="008641E7" w:rsidRPr="0065554C">
          <w:rPr>
            <w:rFonts w:cstheme="minorBidi"/>
            <w:snapToGrid/>
            <w:w w:val="100"/>
            <w:sz w:val="22"/>
            <w:lang w:bidi="ar-SA"/>
          </w:rPr>
          <w:tab/>
        </w:r>
        <w:r w:rsidR="008641E7" w:rsidRPr="0065554C">
          <w:rPr>
            <w:rStyle w:val="Hipervnculo"/>
            <w:color w:val="auto"/>
          </w:rPr>
          <w:t>Modalidades de participación para Licitantes</w:t>
        </w:r>
        <w:r w:rsidR="008641E7" w:rsidRPr="0065554C">
          <w:rPr>
            <w:webHidden/>
          </w:rPr>
          <w:tab/>
        </w:r>
        <w:r w:rsidR="008641E7" w:rsidRPr="0065554C">
          <w:rPr>
            <w:webHidden/>
          </w:rPr>
          <w:fldChar w:fldCharType="begin"/>
        </w:r>
        <w:r w:rsidR="008641E7" w:rsidRPr="0065554C">
          <w:rPr>
            <w:webHidden/>
          </w:rPr>
          <w:instrText xml:space="preserve"> PAGEREF _Toc509413003 \h </w:instrText>
        </w:r>
        <w:r w:rsidR="008641E7" w:rsidRPr="0065554C">
          <w:rPr>
            <w:webHidden/>
          </w:rPr>
        </w:r>
        <w:r w:rsidR="008641E7" w:rsidRPr="0065554C">
          <w:rPr>
            <w:webHidden/>
          </w:rPr>
          <w:fldChar w:fldCharType="separate"/>
        </w:r>
        <w:r w:rsidR="009F3E59" w:rsidRPr="0065554C">
          <w:rPr>
            <w:webHidden/>
          </w:rPr>
          <w:t>21</w:t>
        </w:r>
        <w:r w:rsidR="008641E7" w:rsidRPr="0065554C">
          <w:rPr>
            <w:webHidden/>
          </w:rPr>
          <w:fldChar w:fldCharType="end"/>
        </w:r>
      </w:hyperlink>
    </w:p>
    <w:p w14:paraId="1F606791" w14:textId="77777777" w:rsidR="008641E7" w:rsidRPr="0065554C" w:rsidRDefault="00140072">
      <w:pPr>
        <w:pStyle w:val="TDC2"/>
        <w:rPr>
          <w:rFonts w:cstheme="minorBidi"/>
          <w:snapToGrid/>
          <w:w w:val="100"/>
          <w:sz w:val="22"/>
          <w:lang w:bidi="ar-SA"/>
        </w:rPr>
      </w:pPr>
      <w:hyperlink w:anchor="_Toc509413004" w:history="1">
        <w:r w:rsidR="008641E7" w:rsidRPr="0065554C">
          <w:rPr>
            <w:rStyle w:val="Hipervnculo"/>
            <w:rFonts w:ascii="Calibri" w:hAnsi="Calibri"/>
            <w:color w:val="auto"/>
          </w:rPr>
          <w:t>3.6</w:t>
        </w:r>
        <w:r w:rsidR="008641E7" w:rsidRPr="0065554C">
          <w:rPr>
            <w:rFonts w:cstheme="minorBidi"/>
            <w:snapToGrid/>
            <w:w w:val="100"/>
            <w:sz w:val="22"/>
            <w:lang w:bidi="ar-SA"/>
          </w:rPr>
          <w:tab/>
        </w:r>
        <w:r w:rsidR="008641E7" w:rsidRPr="0065554C">
          <w:rPr>
            <w:rStyle w:val="Hipervnculo"/>
            <w:color w:val="auto"/>
          </w:rPr>
          <w:t>Procedimiento para pagos de la Subasta</w:t>
        </w:r>
        <w:r w:rsidR="008641E7" w:rsidRPr="0065554C">
          <w:rPr>
            <w:webHidden/>
          </w:rPr>
          <w:tab/>
        </w:r>
        <w:r w:rsidR="008641E7" w:rsidRPr="0065554C">
          <w:rPr>
            <w:webHidden/>
          </w:rPr>
          <w:fldChar w:fldCharType="begin"/>
        </w:r>
        <w:r w:rsidR="008641E7" w:rsidRPr="0065554C">
          <w:rPr>
            <w:webHidden/>
          </w:rPr>
          <w:instrText xml:space="preserve"> PAGEREF _Toc509413004 \h </w:instrText>
        </w:r>
        <w:r w:rsidR="008641E7" w:rsidRPr="0065554C">
          <w:rPr>
            <w:webHidden/>
          </w:rPr>
        </w:r>
        <w:r w:rsidR="008641E7" w:rsidRPr="0065554C">
          <w:rPr>
            <w:webHidden/>
          </w:rPr>
          <w:fldChar w:fldCharType="separate"/>
        </w:r>
        <w:r w:rsidR="009F3E59" w:rsidRPr="0065554C">
          <w:rPr>
            <w:webHidden/>
          </w:rPr>
          <w:t>25</w:t>
        </w:r>
        <w:r w:rsidR="008641E7" w:rsidRPr="0065554C">
          <w:rPr>
            <w:webHidden/>
          </w:rPr>
          <w:fldChar w:fldCharType="end"/>
        </w:r>
      </w:hyperlink>
    </w:p>
    <w:p w14:paraId="5071F540" w14:textId="77777777" w:rsidR="008641E7" w:rsidRPr="0065554C" w:rsidRDefault="00140072">
      <w:pPr>
        <w:pStyle w:val="TDC2"/>
        <w:rPr>
          <w:rFonts w:cstheme="minorBidi"/>
          <w:snapToGrid/>
          <w:w w:val="100"/>
          <w:sz w:val="22"/>
          <w:lang w:bidi="ar-SA"/>
        </w:rPr>
      </w:pPr>
      <w:hyperlink w:anchor="_Toc509413005" w:history="1">
        <w:r w:rsidR="008641E7" w:rsidRPr="0065554C">
          <w:rPr>
            <w:rStyle w:val="Hipervnculo"/>
            <w:rFonts w:ascii="Calibri" w:hAnsi="Calibri"/>
            <w:color w:val="auto"/>
          </w:rPr>
          <w:t>3.7</w:t>
        </w:r>
        <w:r w:rsidR="008641E7" w:rsidRPr="0065554C">
          <w:rPr>
            <w:rFonts w:cstheme="minorBidi"/>
            <w:snapToGrid/>
            <w:w w:val="100"/>
            <w:sz w:val="22"/>
            <w:lang w:bidi="ar-SA"/>
          </w:rPr>
          <w:tab/>
        </w:r>
        <w:r w:rsidR="008641E7" w:rsidRPr="0065554C">
          <w:rPr>
            <w:rStyle w:val="Hipervnculo"/>
            <w:color w:val="auto"/>
          </w:rPr>
          <w:t>Juntas de aclaraciones</w:t>
        </w:r>
        <w:r w:rsidR="008641E7" w:rsidRPr="0065554C">
          <w:rPr>
            <w:webHidden/>
          </w:rPr>
          <w:tab/>
        </w:r>
        <w:r w:rsidR="008641E7" w:rsidRPr="0065554C">
          <w:rPr>
            <w:webHidden/>
          </w:rPr>
          <w:fldChar w:fldCharType="begin"/>
        </w:r>
        <w:r w:rsidR="008641E7" w:rsidRPr="0065554C">
          <w:rPr>
            <w:webHidden/>
          </w:rPr>
          <w:instrText xml:space="preserve"> PAGEREF _Toc509413005 \h </w:instrText>
        </w:r>
        <w:r w:rsidR="008641E7" w:rsidRPr="0065554C">
          <w:rPr>
            <w:webHidden/>
          </w:rPr>
        </w:r>
        <w:r w:rsidR="008641E7" w:rsidRPr="0065554C">
          <w:rPr>
            <w:webHidden/>
          </w:rPr>
          <w:fldChar w:fldCharType="separate"/>
        </w:r>
        <w:r w:rsidR="009F3E59" w:rsidRPr="0065554C">
          <w:rPr>
            <w:webHidden/>
          </w:rPr>
          <w:t>29</w:t>
        </w:r>
        <w:r w:rsidR="008641E7" w:rsidRPr="0065554C">
          <w:rPr>
            <w:webHidden/>
          </w:rPr>
          <w:fldChar w:fldCharType="end"/>
        </w:r>
      </w:hyperlink>
    </w:p>
    <w:p w14:paraId="3EDA6E58" w14:textId="77777777" w:rsidR="008641E7" w:rsidRPr="0065554C" w:rsidRDefault="00140072">
      <w:pPr>
        <w:pStyle w:val="TDC2"/>
        <w:rPr>
          <w:rFonts w:cstheme="minorBidi"/>
          <w:snapToGrid/>
          <w:w w:val="100"/>
          <w:sz w:val="22"/>
          <w:lang w:bidi="ar-SA"/>
        </w:rPr>
      </w:pPr>
      <w:hyperlink w:anchor="_Toc509413006" w:history="1">
        <w:r w:rsidR="008641E7" w:rsidRPr="0065554C">
          <w:rPr>
            <w:rStyle w:val="Hipervnculo"/>
            <w:rFonts w:ascii="Calibri" w:hAnsi="Calibri"/>
            <w:color w:val="auto"/>
          </w:rPr>
          <w:t>3.8</w:t>
        </w:r>
        <w:r w:rsidR="008641E7" w:rsidRPr="0065554C">
          <w:rPr>
            <w:rFonts w:cstheme="minorBidi"/>
            <w:snapToGrid/>
            <w:w w:val="100"/>
            <w:sz w:val="22"/>
            <w:lang w:bidi="ar-SA"/>
          </w:rPr>
          <w:tab/>
        </w:r>
        <w:r w:rsidR="008641E7" w:rsidRPr="0065554C">
          <w:rPr>
            <w:rStyle w:val="Hipervnculo"/>
            <w:color w:val="auto"/>
          </w:rPr>
          <w:t>Modificaciones a las Bases de Licitación</w:t>
        </w:r>
        <w:r w:rsidR="008641E7" w:rsidRPr="0065554C">
          <w:rPr>
            <w:webHidden/>
          </w:rPr>
          <w:tab/>
        </w:r>
        <w:r w:rsidR="008641E7" w:rsidRPr="0065554C">
          <w:rPr>
            <w:webHidden/>
          </w:rPr>
          <w:fldChar w:fldCharType="begin"/>
        </w:r>
        <w:r w:rsidR="008641E7" w:rsidRPr="0065554C">
          <w:rPr>
            <w:webHidden/>
          </w:rPr>
          <w:instrText xml:space="preserve"> PAGEREF _Toc509413006 \h </w:instrText>
        </w:r>
        <w:r w:rsidR="008641E7" w:rsidRPr="0065554C">
          <w:rPr>
            <w:webHidden/>
          </w:rPr>
        </w:r>
        <w:r w:rsidR="008641E7" w:rsidRPr="0065554C">
          <w:rPr>
            <w:webHidden/>
          </w:rPr>
          <w:fldChar w:fldCharType="separate"/>
        </w:r>
        <w:r w:rsidR="009F3E59" w:rsidRPr="0065554C">
          <w:rPr>
            <w:webHidden/>
          </w:rPr>
          <w:t>30</w:t>
        </w:r>
        <w:r w:rsidR="008641E7" w:rsidRPr="0065554C">
          <w:rPr>
            <w:webHidden/>
          </w:rPr>
          <w:fldChar w:fldCharType="end"/>
        </w:r>
      </w:hyperlink>
    </w:p>
    <w:p w14:paraId="5CC7F47E" w14:textId="77777777" w:rsidR="008641E7" w:rsidRPr="0065554C" w:rsidRDefault="00140072">
      <w:pPr>
        <w:pStyle w:val="TDC2"/>
        <w:rPr>
          <w:rFonts w:cstheme="minorBidi"/>
          <w:snapToGrid/>
          <w:w w:val="100"/>
          <w:sz w:val="22"/>
          <w:lang w:bidi="ar-SA"/>
        </w:rPr>
      </w:pPr>
      <w:hyperlink w:anchor="_Toc509413007" w:history="1">
        <w:r w:rsidR="008641E7" w:rsidRPr="0065554C">
          <w:rPr>
            <w:rStyle w:val="Hipervnculo"/>
            <w:rFonts w:ascii="Calibri" w:hAnsi="Calibri"/>
            <w:color w:val="auto"/>
          </w:rPr>
          <w:t>3.9</w:t>
        </w:r>
        <w:r w:rsidR="008641E7" w:rsidRPr="0065554C">
          <w:rPr>
            <w:rFonts w:cstheme="minorBidi"/>
            <w:snapToGrid/>
            <w:w w:val="100"/>
            <w:sz w:val="22"/>
            <w:lang w:bidi="ar-SA"/>
          </w:rPr>
          <w:tab/>
        </w:r>
        <w:r w:rsidR="008641E7" w:rsidRPr="0065554C">
          <w:rPr>
            <w:rStyle w:val="Hipervnculo"/>
            <w:color w:val="auto"/>
          </w:rPr>
          <w:t>Transparencia</w:t>
        </w:r>
        <w:r w:rsidR="008641E7" w:rsidRPr="0065554C">
          <w:rPr>
            <w:webHidden/>
          </w:rPr>
          <w:tab/>
        </w:r>
        <w:r w:rsidR="008641E7" w:rsidRPr="0065554C">
          <w:rPr>
            <w:webHidden/>
          </w:rPr>
          <w:fldChar w:fldCharType="begin"/>
        </w:r>
        <w:r w:rsidR="008641E7" w:rsidRPr="0065554C">
          <w:rPr>
            <w:webHidden/>
          </w:rPr>
          <w:instrText xml:space="preserve"> PAGEREF _Toc509413007 \h </w:instrText>
        </w:r>
        <w:r w:rsidR="008641E7" w:rsidRPr="0065554C">
          <w:rPr>
            <w:webHidden/>
          </w:rPr>
        </w:r>
        <w:r w:rsidR="008641E7" w:rsidRPr="0065554C">
          <w:rPr>
            <w:webHidden/>
          </w:rPr>
          <w:fldChar w:fldCharType="separate"/>
        </w:r>
        <w:r w:rsidR="009F3E59" w:rsidRPr="0065554C">
          <w:rPr>
            <w:webHidden/>
          </w:rPr>
          <w:t>31</w:t>
        </w:r>
        <w:r w:rsidR="008641E7" w:rsidRPr="0065554C">
          <w:rPr>
            <w:webHidden/>
          </w:rPr>
          <w:fldChar w:fldCharType="end"/>
        </w:r>
      </w:hyperlink>
    </w:p>
    <w:p w14:paraId="7DFB6D65" w14:textId="77777777" w:rsidR="008641E7" w:rsidRPr="0065554C" w:rsidRDefault="00140072">
      <w:pPr>
        <w:pStyle w:val="TDC2"/>
        <w:rPr>
          <w:rFonts w:cstheme="minorBidi"/>
          <w:snapToGrid/>
          <w:w w:val="100"/>
          <w:sz w:val="22"/>
          <w:lang w:bidi="ar-SA"/>
        </w:rPr>
      </w:pPr>
      <w:hyperlink w:anchor="_Toc509413008" w:history="1">
        <w:r w:rsidR="008641E7" w:rsidRPr="0065554C">
          <w:rPr>
            <w:rStyle w:val="Hipervnculo"/>
            <w:rFonts w:ascii="Calibri" w:hAnsi="Calibri"/>
            <w:color w:val="auto"/>
          </w:rPr>
          <w:t>3.10</w:t>
        </w:r>
        <w:r w:rsidR="008641E7" w:rsidRPr="0065554C">
          <w:rPr>
            <w:rFonts w:cstheme="minorBidi"/>
            <w:snapToGrid/>
            <w:w w:val="100"/>
            <w:sz w:val="22"/>
            <w:lang w:bidi="ar-SA"/>
          </w:rPr>
          <w:tab/>
        </w:r>
        <w:r w:rsidR="008641E7" w:rsidRPr="0065554C">
          <w:rPr>
            <w:rStyle w:val="Hipervnculo"/>
            <w:color w:val="auto"/>
          </w:rPr>
          <w:t>Subasta desierta</w:t>
        </w:r>
        <w:r w:rsidR="008641E7" w:rsidRPr="0065554C">
          <w:rPr>
            <w:webHidden/>
          </w:rPr>
          <w:tab/>
        </w:r>
        <w:r w:rsidR="008641E7" w:rsidRPr="0065554C">
          <w:rPr>
            <w:webHidden/>
          </w:rPr>
          <w:fldChar w:fldCharType="begin"/>
        </w:r>
        <w:r w:rsidR="008641E7" w:rsidRPr="0065554C">
          <w:rPr>
            <w:webHidden/>
          </w:rPr>
          <w:instrText xml:space="preserve"> PAGEREF _Toc509413008 \h </w:instrText>
        </w:r>
        <w:r w:rsidR="008641E7" w:rsidRPr="0065554C">
          <w:rPr>
            <w:webHidden/>
          </w:rPr>
        </w:r>
        <w:r w:rsidR="008641E7" w:rsidRPr="0065554C">
          <w:rPr>
            <w:webHidden/>
          </w:rPr>
          <w:fldChar w:fldCharType="separate"/>
        </w:r>
        <w:r w:rsidR="009F3E59" w:rsidRPr="0065554C">
          <w:rPr>
            <w:webHidden/>
          </w:rPr>
          <w:t>32</w:t>
        </w:r>
        <w:r w:rsidR="008641E7" w:rsidRPr="0065554C">
          <w:rPr>
            <w:webHidden/>
          </w:rPr>
          <w:fldChar w:fldCharType="end"/>
        </w:r>
      </w:hyperlink>
    </w:p>
    <w:p w14:paraId="31A0C3EA" w14:textId="77777777" w:rsidR="008641E7" w:rsidRPr="0065554C" w:rsidRDefault="00140072">
      <w:pPr>
        <w:pStyle w:val="TDC2"/>
        <w:rPr>
          <w:rFonts w:cstheme="minorBidi"/>
          <w:snapToGrid/>
          <w:w w:val="100"/>
          <w:sz w:val="22"/>
          <w:lang w:bidi="ar-SA"/>
        </w:rPr>
      </w:pPr>
      <w:hyperlink w:anchor="_Toc509413009" w:history="1">
        <w:r w:rsidR="008641E7" w:rsidRPr="0065554C">
          <w:rPr>
            <w:rStyle w:val="Hipervnculo"/>
            <w:rFonts w:ascii="Calibri" w:hAnsi="Calibri"/>
            <w:color w:val="auto"/>
          </w:rPr>
          <w:t>3.11</w:t>
        </w:r>
        <w:r w:rsidR="008641E7" w:rsidRPr="0065554C">
          <w:rPr>
            <w:rFonts w:cstheme="minorBidi"/>
            <w:snapToGrid/>
            <w:w w:val="100"/>
            <w:sz w:val="22"/>
            <w:lang w:bidi="ar-SA"/>
          </w:rPr>
          <w:tab/>
        </w:r>
        <w:r w:rsidR="008641E7" w:rsidRPr="0065554C">
          <w:rPr>
            <w:rStyle w:val="Hipervnculo"/>
            <w:color w:val="auto"/>
          </w:rPr>
          <w:t>Cancelación o suspensión de la Subasta</w:t>
        </w:r>
        <w:r w:rsidR="008641E7" w:rsidRPr="0065554C">
          <w:rPr>
            <w:webHidden/>
          </w:rPr>
          <w:tab/>
        </w:r>
        <w:r w:rsidR="008641E7" w:rsidRPr="0065554C">
          <w:rPr>
            <w:webHidden/>
          </w:rPr>
          <w:fldChar w:fldCharType="begin"/>
        </w:r>
        <w:r w:rsidR="008641E7" w:rsidRPr="0065554C">
          <w:rPr>
            <w:webHidden/>
          </w:rPr>
          <w:instrText xml:space="preserve"> PAGEREF _Toc509413009 \h </w:instrText>
        </w:r>
        <w:r w:rsidR="008641E7" w:rsidRPr="0065554C">
          <w:rPr>
            <w:webHidden/>
          </w:rPr>
        </w:r>
        <w:r w:rsidR="008641E7" w:rsidRPr="0065554C">
          <w:rPr>
            <w:webHidden/>
          </w:rPr>
          <w:fldChar w:fldCharType="separate"/>
        </w:r>
        <w:r w:rsidR="009F3E59" w:rsidRPr="0065554C">
          <w:rPr>
            <w:webHidden/>
          </w:rPr>
          <w:t>34</w:t>
        </w:r>
        <w:r w:rsidR="008641E7" w:rsidRPr="0065554C">
          <w:rPr>
            <w:webHidden/>
          </w:rPr>
          <w:fldChar w:fldCharType="end"/>
        </w:r>
      </w:hyperlink>
    </w:p>
    <w:p w14:paraId="7F88A42C" w14:textId="77777777" w:rsidR="008641E7" w:rsidRPr="0065554C" w:rsidRDefault="00140072">
      <w:pPr>
        <w:pStyle w:val="TDC2"/>
        <w:rPr>
          <w:rFonts w:cstheme="minorBidi"/>
          <w:snapToGrid/>
          <w:w w:val="100"/>
          <w:sz w:val="22"/>
          <w:lang w:bidi="ar-SA"/>
        </w:rPr>
      </w:pPr>
      <w:hyperlink w:anchor="_Toc509413010" w:history="1">
        <w:r w:rsidR="008641E7" w:rsidRPr="0065554C">
          <w:rPr>
            <w:rStyle w:val="Hipervnculo"/>
            <w:rFonts w:ascii="Calibri" w:hAnsi="Calibri"/>
            <w:color w:val="auto"/>
          </w:rPr>
          <w:t>3.12</w:t>
        </w:r>
        <w:r w:rsidR="008641E7" w:rsidRPr="0065554C">
          <w:rPr>
            <w:rFonts w:cstheme="minorBidi"/>
            <w:snapToGrid/>
            <w:w w:val="100"/>
            <w:sz w:val="22"/>
            <w:lang w:bidi="ar-SA"/>
          </w:rPr>
          <w:tab/>
        </w:r>
        <w:r w:rsidR="008641E7" w:rsidRPr="0065554C">
          <w:rPr>
            <w:rStyle w:val="Hipervnculo"/>
            <w:color w:val="auto"/>
          </w:rPr>
          <w:t>Mesa de ayuda</w:t>
        </w:r>
        <w:r w:rsidR="008641E7" w:rsidRPr="0065554C">
          <w:rPr>
            <w:webHidden/>
          </w:rPr>
          <w:tab/>
        </w:r>
        <w:r w:rsidR="008641E7" w:rsidRPr="0065554C">
          <w:rPr>
            <w:webHidden/>
          </w:rPr>
          <w:fldChar w:fldCharType="begin"/>
        </w:r>
        <w:r w:rsidR="008641E7" w:rsidRPr="0065554C">
          <w:rPr>
            <w:webHidden/>
          </w:rPr>
          <w:instrText xml:space="preserve"> PAGEREF _Toc509413010 \h </w:instrText>
        </w:r>
        <w:r w:rsidR="008641E7" w:rsidRPr="0065554C">
          <w:rPr>
            <w:webHidden/>
          </w:rPr>
        </w:r>
        <w:r w:rsidR="008641E7" w:rsidRPr="0065554C">
          <w:rPr>
            <w:webHidden/>
          </w:rPr>
          <w:fldChar w:fldCharType="separate"/>
        </w:r>
        <w:r w:rsidR="009F3E59" w:rsidRPr="0065554C">
          <w:rPr>
            <w:webHidden/>
          </w:rPr>
          <w:t>35</w:t>
        </w:r>
        <w:r w:rsidR="008641E7" w:rsidRPr="0065554C">
          <w:rPr>
            <w:webHidden/>
          </w:rPr>
          <w:fldChar w:fldCharType="end"/>
        </w:r>
      </w:hyperlink>
    </w:p>
    <w:p w14:paraId="380F26B8" w14:textId="77777777" w:rsidR="008641E7" w:rsidRPr="0065554C" w:rsidRDefault="00140072">
      <w:pPr>
        <w:pStyle w:val="TDC1"/>
        <w:rPr>
          <w:rFonts w:cstheme="minorBidi"/>
          <w:b w:val="0"/>
          <w:sz w:val="22"/>
          <w:szCs w:val="22"/>
          <w:lang w:val="es-MX" w:eastAsia="es-MX" w:bidi="ar-SA"/>
        </w:rPr>
      </w:pPr>
      <w:hyperlink w:anchor="_Toc509413011" w:history="1">
        <w:r w:rsidR="008641E7" w:rsidRPr="0065554C">
          <w:rPr>
            <w:rStyle w:val="Hipervnculo"/>
            <w:color w:val="auto"/>
            <w:lang w:bidi="x-none"/>
            <w14:scene3d>
              <w14:camera w14:prst="orthographicFront"/>
              <w14:lightRig w14:rig="threePt" w14:dir="t">
                <w14:rot w14:lat="0" w14:lon="0" w14:rev="0"/>
              </w14:lightRig>
            </w14:scene3d>
          </w:rPr>
          <w:t>CAPÍTULO 4</w:t>
        </w:r>
        <w:r w:rsidR="008641E7" w:rsidRPr="0065554C">
          <w:rPr>
            <w:rStyle w:val="Hipervnculo"/>
            <w:color w:val="auto"/>
          </w:rPr>
          <w:t xml:space="preserve"> Ofertas de Compra</w:t>
        </w:r>
        <w:r w:rsidR="008641E7" w:rsidRPr="0065554C">
          <w:rPr>
            <w:webHidden/>
          </w:rPr>
          <w:tab/>
        </w:r>
        <w:r w:rsidR="008641E7" w:rsidRPr="0065554C">
          <w:rPr>
            <w:webHidden/>
          </w:rPr>
          <w:fldChar w:fldCharType="begin"/>
        </w:r>
        <w:r w:rsidR="008641E7" w:rsidRPr="0065554C">
          <w:rPr>
            <w:webHidden/>
          </w:rPr>
          <w:instrText xml:space="preserve"> PAGEREF _Toc509413011 \h </w:instrText>
        </w:r>
        <w:r w:rsidR="008641E7" w:rsidRPr="0065554C">
          <w:rPr>
            <w:webHidden/>
          </w:rPr>
        </w:r>
        <w:r w:rsidR="008641E7" w:rsidRPr="0065554C">
          <w:rPr>
            <w:webHidden/>
          </w:rPr>
          <w:fldChar w:fldCharType="separate"/>
        </w:r>
        <w:r w:rsidR="009F3E59" w:rsidRPr="0065554C">
          <w:rPr>
            <w:webHidden/>
          </w:rPr>
          <w:t>37</w:t>
        </w:r>
        <w:r w:rsidR="008641E7" w:rsidRPr="0065554C">
          <w:rPr>
            <w:webHidden/>
          </w:rPr>
          <w:fldChar w:fldCharType="end"/>
        </w:r>
      </w:hyperlink>
    </w:p>
    <w:p w14:paraId="384D28B3" w14:textId="77777777" w:rsidR="008641E7" w:rsidRPr="0065554C" w:rsidRDefault="00140072">
      <w:pPr>
        <w:pStyle w:val="TDC2"/>
        <w:rPr>
          <w:rFonts w:cstheme="minorBidi"/>
          <w:snapToGrid/>
          <w:w w:val="100"/>
          <w:sz w:val="22"/>
          <w:lang w:bidi="ar-SA"/>
        </w:rPr>
      </w:pPr>
      <w:hyperlink w:anchor="_Toc509413012" w:history="1">
        <w:r w:rsidR="008641E7" w:rsidRPr="0065554C">
          <w:rPr>
            <w:rStyle w:val="Hipervnculo"/>
            <w:rFonts w:ascii="Calibri" w:hAnsi="Calibri"/>
            <w:color w:val="auto"/>
          </w:rPr>
          <w:t>4.1</w:t>
        </w:r>
        <w:r w:rsidR="008641E7" w:rsidRPr="0065554C">
          <w:rPr>
            <w:rFonts w:cstheme="minorBidi"/>
            <w:snapToGrid/>
            <w:w w:val="100"/>
            <w:sz w:val="22"/>
            <w:lang w:bidi="ar-SA"/>
          </w:rPr>
          <w:tab/>
        </w:r>
        <w:r w:rsidR="008641E7" w:rsidRPr="0065554C">
          <w:rPr>
            <w:rStyle w:val="Hipervnculo"/>
            <w:color w:val="auto"/>
          </w:rPr>
          <w:t>Disposiciones Generales</w:t>
        </w:r>
        <w:r w:rsidR="008641E7" w:rsidRPr="0065554C">
          <w:rPr>
            <w:webHidden/>
          </w:rPr>
          <w:tab/>
        </w:r>
        <w:r w:rsidR="008641E7" w:rsidRPr="0065554C">
          <w:rPr>
            <w:webHidden/>
          </w:rPr>
          <w:fldChar w:fldCharType="begin"/>
        </w:r>
        <w:r w:rsidR="008641E7" w:rsidRPr="0065554C">
          <w:rPr>
            <w:webHidden/>
          </w:rPr>
          <w:instrText xml:space="preserve"> PAGEREF _Toc509413012 \h </w:instrText>
        </w:r>
        <w:r w:rsidR="008641E7" w:rsidRPr="0065554C">
          <w:rPr>
            <w:webHidden/>
          </w:rPr>
        </w:r>
        <w:r w:rsidR="008641E7" w:rsidRPr="0065554C">
          <w:rPr>
            <w:webHidden/>
          </w:rPr>
          <w:fldChar w:fldCharType="separate"/>
        </w:r>
        <w:r w:rsidR="009F3E59" w:rsidRPr="0065554C">
          <w:rPr>
            <w:webHidden/>
          </w:rPr>
          <w:t>37</w:t>
        </w:r>
        <w:r w:rsidR="008641E7" w:rsidRPr="0065554C">
          <w:rPr>
            <w:webHidden/>
          </w:rPr>
          <w:fldChar w:fldCharType="end"/>
        </w:r>
      </w:hyperlink>
    </w:p>
    <w:p w14:paraId="031F3C4A" w14:textId="77777777" w:rsidR="008641E7" w:rsidRPr="0065554C" w:rsidRDefault="00140072">
      <w:pPr>
        <w:pStyle w:val="TDC2"/>
        <w:rPr>
          <w:rFonts w:cstheme="minorBidi"/>
          <w:snapToGrid/>
          <w:w w:val="100"/>
          <w:sz w:val="22"/>
          <w:lang w:bidi="ar-SA"/>
        </w:rPr>
      </w:pPr>
      <w:hyperlink w:anchor="_Toc509413013" w:history="1">
        <w:r w:rsidR="008641E7" w:rsidRPr="0065554C">
          <w:rPr>
            <w:rStyle w:val="Hipervnculo"/>
            <w:rFonts w:ascii="Calibri" w:hAnsi="Calibri"/>
            <w:color w:val="auto"/>
          </w:rPr>
          <w:t>4.2</w:t>
        </w:r>
        <w:r w:rsidR="008641E7" w:rsidRPr="0065554C">
          <w:rPr>
            <w:rFonts w:cstheme="minorBidi"/>
            <w:snapToGrid/>
            <w:w w:val="100"/>
            <w:sz w:val="22"/>
            <w:lang w:bidi="ar-SA"/>
          </w:rPr>
          <w:tab/>
        </w:r>
        <w:r w:rsidR="008641E7" w:rsidRPr="0065554C">
          <w:rPr>
            <w:rStyle w:val="Hipervnculo"/>
            <w:color w:val="auto"/>
          </w:rPr>
          <w:t>Registro de Compradores Potenciales</w:t>
        </w:r>
        <w:r w:rsidR="008641E7" w:rsidRPr="0065554C">
          <w:rPr>
            <w:webHidden/>
          </w:rPr>
          <w:tab/>
        </w:r>
        <w:r w:rsidR="008641E7" w:rsidRPr="0065554C">
          <w:rPr>
            <w:webHidden/>
          </w:rPr>
          <w:fldChar w:fldCharType="begin"/>
        </w:r>
        <w:r w:rsidR="008641E7" w:rsidRPr="0065554C">
          <w:rPr>
            <w:webHidden/>
          </w:rPr>
          <w:instrText xml:space="preserve"> PAGEREF _Toc509413013 \h </w:instrText>
        </w:r>
        <w:r w:rsidR="008641E7" w:rsidRPr="0065554C">
          <w:rPr>
            <w:webHidden/>
          </w:rPr>
        </w:r>
        <w:r w:rsidR="008641E7" w:rsidRPr="0065554C">
          <w:rPr>
            <w:webHidden/>
          </w:rPr>
          <w:fldChar w:fldCharType="separate"/>
        </w:r>
        <w:r w:rsidR="009F3E59" w:rsidRPr="0065554C">
          <w:rPr>
            <w:webHidden/>
          </w:rPr>
          <w:t>37</w:t>
        </w:r>
        <w:r w:rsidR="008641E7" w:rsidRPr="0065554C">
          <w:rPr>
            <w:webHidden/>
          </w:rPr>
          <w:fldChar w:fldCharType="end"/>
        </w:r>
      </w:hyperlink>
    </w:p>
    <w:p w14:paraId="60588D84" w14:textId="77777777" w:rsidR="008641E7" w:rsidRPr="0065554C" w:rsidRDefault="00140072">
      <w:pPr>
        <w:pStyle w:val="TDC2"/>
        <w:rPr>
          <w:rFonts w:cstheme="minorBidi"/>
          <w:snapToGrid/>
          <w:w w:val="100"/>
          <w:sz w:val="22"/>
          <w:lang w:bidi="ar-SA"/>
        </w:rPr>
      </w:pPr>
      <w:hyperlink w:anchor="_Toc509413014" w:history="1">
        <w:r w:rsidR="008641E7" w:rsidRPr="0065554C">
          <w:rPr>
            <w:rStyle w:val="Hipervnculo"/>
            <w:rFonts w:ascii="Calibri" w:hAnsi="Calibri"/>
            <w:color w:val="auto"/>
          </w:rPr>
          <w:t>4.3</w:t>
        </w:r>
        <w:r w:rsidR="008641E7" w:rsidRPr="0065554C">
          <w:rPr>
            <w:rFonts w:cstheme="minorBidi"/>
            <w:snapToGrid/>
            <w:w w:val="100"/>
            <w:sz w:val="22"/>
            <w:lang w:bidi="ar-SA"/>
          </w:rPr>
          <w:tab/>
        </w:r>
        <w:r w:rsidR="008641E7" w:rsidRPr="0065554C">
          <w:rPr>
            <w:rStyle w:val="Hipervnculo"/>
            <w:color w:val="auto"/>
          </w:rPr>
          <w:t>Oferta de Compra del Suministrador de Servicios Básicos</w:t>
        </w:r>
        <w:r w:rsidR="008641E7" w:rsidRPr="0065554C">
          <w:rPr>
            <w:webHidden/>
          </w:rPr>
          <w:tab/>
        </w:r>
        <w:r w:rsidR="008641E7" w:rsidRPr="0065554C">
          <w:rPr>
            <w:webHidden/>
          </w:rPr>
          <w:fldChar w:fldCharType="begin"/>
        </w:r>
        <w:r w:rsidR="008641E7" w:rsidRPr="0065554C">
          <w:rPr>
            <w:webHidden/>
          </w:rPr>
          <w:instrText xml:space="preserve"> PAGEREF _Toc509413014 \h </w:instrText>
        </w:r>
        <w:r w:rsidR="008641E7" w:rsidRPr="0065554C">
          <w:rPr>
            <w:webHidden/>
          </w:rPr>
        </w:r>
        <w:r w:rsidR="008641E7" w:rsidRPr="0065554C">
          <w:rPr>
            <w:webHidden/>
          </w:rPr>
          <w:fldChar w:fldCharType="separate"/>
        </w:r>
        <w:r w:rsidR="009F3E59" w:rsidRPr="0065554C">
          <w:rPr>
            <w:webHidden/>
          </w:rPr>
          <w:t>39</w:t>
        </w:r>
        <w:r w:rsidR="008641E7" w:rsidRPr="0065554C">
          <w:rPr>
            <w:webHidden/>
          </w:rPr>
          <w:fldChar w:fldCharType="end"/>
        </w:r>
      </w:hyperlink>
    </w:p>
    <w:p w14:paraId="4039E85B" w14:textId="77777777" w:rsidR="008641E7" w:rsidRPr="0065554C" w:rsidRDefault="00140072">
      <w:pPr>
        <w:pStyle w:val="TDC2"/>
        <w:rPr>
          <w:rFonts w:cstheme="minorBidi"/>
          <w:snapToGrid/>
          <w:w w:val="100"/>
          <w:sz w:val="22"/>
          <w:lang w:bidi="ar-SA"/>
        </w:rPr>
      </w:pPr>
      <w:hyperlink w:anchor="_Toc509413015" w:history="1">
        <w:r w:rsidR="008641E7" w:rsidRPr="0065554C">
          <w:rPr>
            <w:rStyle w:val="Hipervnculo"/>
            <w:rFonts w:ascii="Calibri" w:hAnsi="Calibri"/>
            <w:color w:val="auto"/>
          </w:rPr>
          <w:t>4.4</w:t>
        </w:r>
        <w:r w:rsidR="008641E7" w:rsidRPr="0065554C">
          <w:rPr>
            <w:rFonts w:cstheme="minorBidi"/>
            <w:snapToGrid/>
            <w:w w:val="100"/>
            <w:sz w:val="22"/>
            <w:lang w:bidi="ar-SA"/>
          </w:rPr>
          <w:tab/>
        </w:r>
        <w:r w:rsidR="008641E7" w:rsidRPr="0065554C">
          <w:rPr>
            <w:rStyle w:val="Hipervnculo"/>
            <w:color w:val="auto"/>
          </w:rPr>
          <w:t>Ofertas de Compra de las demás Entidades Responsables de Carga</w:t>
        </w:r>
        <w:r w:rsidR="008641E7" w:rsidRPr="0065554C">
          <w:rPr>
            <w:webHidden/>
          </w:rPr>
          <w:tab/>
        </w:r>
        <w:r w:rsidR="008641E7" w:rsidRPr="0065554C">
          <w:rPr>
            <w:webHidden/>
          </w:rPr>
          <w:fldChar w:fldCharType="begin"/>
        </w:r>
        <w:r w:rsidR="008641E7" w:rsidRPr="0065554C">
          <w:rPr>
            <w:webHidden/>
          </w:rPr>
          <w:instrText xml:space="preserve"> PAGEREF _Toc509413015 \h </w:instrText>
        </w:r>
        <w:r w:rsidR="008641E7" w:rsidRPr="0065554C">
          <w:rPr>
            <w:webHidden/>
          </w:rPr>
        </w:r>
        <w:r w:rsidR="008641E7" w:rsidRPr="0065554C">
          <w:rPr>
            <w:webHidden/>
          </w:rPr>
          <w:fldChar w:fldCharType="separate"/>
        </w:r>
        <w:r w:rsidR="009F3E59" w:rsidRPr="0065554C">
          <w:rPr>
            <w:webHidden/>
          </w:rPr>
          <w:t>39</w:t>
        </w:r>
        <w:r w:rsidR="008641E7" w:rsidRPr="0065554C">
          <w:rPr>
            <w:webHidden/>
          </w:rPr>
          <w:fldChar w:fldCharType="end"/>
        </w:r>
      </w:hyperlink>
    </w:p>
    <w:p w14:paraId="0893CF04" w14:textId="77777777" w:rsidR="008641E7" w:rsidRPr="0065554C" w:rsidRDefault="00140072">
      <w:pPr>
        <w:pStyle w:val="TDC2"/>
        <w:rPr>
          <w:rFonts w:cstheme="minorBidi"/>
          <w:snapToGrid/>
          <w:w w:val="100"/>
          <w:sz w:val="22"/>
          <w:lang w:bidi="ar-SA"/>
        </w:rPr>
      </w:pPr>
      <w:hyperlink w:anchor="_Toc509413016" w:history="1">
        <w:r w:rsidR="008641E7" w:rsidRPr="0065554C">
          <w:rPr>
            <w:rStyle w:val="Hipervnculo"/>
            <w:rFonts w:ascii="Calibri" w:hAnsi="Calibri"/>
            <w:color w:val="auto"/>
          </w:rPr>
          <w:t>4.5</w:t>
        </w:r>
        <w:r w:rsidR="008641E7" w:rsidRPr="0065554C">
          <w:rPr>
            <w:rFonts w:cstheme="minorBidi"/>
            <w:snapToGrid/>
            <w:w w:val="100"/>
            <w:sz w:val="22"/>
            <w:lang w:bidi="ar-SA"/>
          </w:rPr>
          <w:tab/>
        </w:r>
        <w:r w:rsidR="008641E7" w:rsidRPr="0065554C">
          <w:rPr>
            <w:rStyle w:val="Hipervnculo"/>
            <w:color w:val="auto"/>
          </w:rPr>
          <w:t>Garantía de Seriedad para las Ofertas de Compra</w:t>
        </w:r>
        <w:r w:rsidR="008641E7" w:rsidRPr="0065554C">
          <w:rPr>
            <w:webHidden/>
          </w:rPr>
          <w:tab/>
        </w:r>
        <w:r w:rsidR="008641E7" w:rsidRPr="0065554C">
          <w:rPr>
            <w:webHidden/>
          </w:rPr>
          <w:fldChar w:fldCharType="begin"/>
        </w:r>
        <w:r w:rsidR="008641E7" w:rsidRPr="0065554C">
          <w:rPr>
            <w:webHidden/>
          </w:rPr>
          <w:instrText xml:space="preserve"> PAGEREF _Toc509413016 \h </w:instrText>
        </w:r>
        <w:r w:rsidR="008641E7" w:rsidRPr="0065554C">
          <w:rPr>
            <w:webHidden/>
          </w:rPr>
        </w:r>
        <w:r w:rsidR="008641E7" w:rsidRPr="0065554C">
          <w:rPr>
            <w:webHidden/>
          </w:rPr>
          <w:fldChar w:fldCharType="separate"/>
        </w:r>
        <w:r w:rsidR="009F3E59" w:rsidRPr="0065554C">
          <w:rPr>
            <w:webHidden/>
          </w:rPr>
          <w:t>42</w:t>
        </w:r>
        <w:r w:rsidR="008641E7" w:rsidRPr="0065554C">
          <w:rPr>
            <w:webHidden/>
          </w:rPr>
          <w:fldChar w:fldCharType="end"/>
        </w:r>
      </w:hyperlink>
    </w:p>
    <w:p w14:paraId="29798BC5" w14:textId="77777777" w:rsidR="008641E7" w:rsidRPr="0065554C" w:rsidRDefault="00140072">
      <w:pPr>
        <w:pStyle w:val="TDC2"/>
        <w:rPr>
          <w:rFonts w:cstheme="minorBidi"/>
          <w:snapToGrid/>
          <w:w w:val="100"/>
          <w:sz w:val="22"/>
          <w:lang w:bidi="ar-SA"/>
        </w:rPr>
      </w:pPr>
      <w:hyperlink w:anchor="_Toc509413017" w:history="1">
        <w:r w:rsidR="008641E7" w:rsidRPr="0065554C">
          <w:rPr>
            <w:rStyle w:val="Hipervnculo"/>
            <w:rFonts w:ascii="Calibri" w:hAnsi="Calibri"/>
            <w:color w:val="auto"/>
          </w:rPr>
          <w:t>4.6</w:t>
        </w:r>
        <w:r w:rsidR="008641E7" w:rsidRPr="0065554C">
          <w:rPr>
            <w:rFonts w:cstheme="minorBidi"/>
            <w:snapToGrid/>
            <w:w w:val="100"/>
            <w:sz w:val="22"/>
            <w:lang w:bidi="ar-SA"/>
          </w:rPr>
          <w:tab/>
        </w:r>
        <w:r w:rsidR="008641E7" w:rsidRPr="0065554C">
          <w:rPr>
            <w:rStyle w:val="Hipervnculo"/>
            <w:color w:val="auto"/>
          </w:rPr>
          <w:t>Notificación de las Ofertas de Compra Aceptadas</w:t>
        </w:r>
        <w:r w:rsidR="008641E7" w:rsidRPr="0065554C">
          <w:rPr>
            <w:webHidden/>
          </w:rPr>
          <w:tab/>
        </w:r>
        <w:r w:rsidR="008641E7" w:rsidRPr="0065554C">
          <w:rPr>
            <w:webHidden/>
          </w:rPr>
          <w:fldChar w:fldCharType="begin"/>
        </w:r>
        <w:r w:rsidR="008641E7" w:rsidRPr="0065554C">
          <w:rPr>
            <w:webHidden/>
          </w:rPr>
          <w:instrText xml:space="preserve"> PAGEREF _Toc509413017 \h </w:instrText>
        </w:r>
        <w:r w:rsidR="008641E7" w:rsidRPr="0065554C">
          <w:rPr>
            <w:webHidden/>
          </w:rPr>
        </w:r>
        <w:r w:rsidR="008641E7" w:rsidRPr="0065554C">
          <w:rPr>
            <w:webHidden/>
          </w:rPr>
          <w:fldChar w:fldCharType="separate"/>
        </w:r>
        <w:r w:rsidR="009F3E59" w:rsidRPr="0065554C">
          <w:rPr>
            <w:webHidden/>
          </w:rPr>
          <w:t>46</w:t>
        </w:r>
        <w:r w:rsidR="008641E7" w:rsidRPr="0065554C">
          <w:rPr>
            <w:webHidden/>
          </w:rPr>
          <w:fldChar w:fldCharType="end"/>
        </w:r>
      </w:hyperlink>
    </w:p>
    <w:p w14:paraId="36F3CAB3" w14:textId="77777777" w:rsidR="008641E7" w:rsidRPr="0065554C" w:rsidRDefault="00140072">
      <w:pPr>
        <w:pStyle w:val="TDC1"/>
        <w:rPr>
          <w:rFonts w:cstheme="minorBidi"/>
          <w:b w:val="0"/>
          <w:sz w:val="22"/>
          <w:szCs w:val="22"/>
          <w:lang w:val="es-MX" w:eastAsia="es-MX" w:bidi="ar-SA"/>
        </w:rPr>
      </w:pPr>
      <w:hyperlink w:anchor="_Toc509413018" w:history="1">
        <w:r w:rsidR="008641E7" w:rsidRPr="0065554C">
          <w:rPr>
            <w:rStyle w:val="Hipervnculo"/>
            <w:color w:val="auto"/>
            <w:lang w:bidi="x-none"/>
            <w14:scene3d>
              <w14:camera w14:prst="orthographicFront"/>
              <w14:lightRig w14:rig="threePt" w14:dir="t">
                <w14:rot w14:lat="0" w14:lon="0" w14:rev="0"/>
              </w14:lightRig>
            </w14:scene3d>
          </w:rPr>
          <w:t>CAPÍTULO 5</w:t>
        </w:r>
        <w:r w:rsidR="008641E7" w:rsidRPr="0065554C">
          <w:rPr>
            <w:rStyle w:val="Hipervnculo"/>
            <w:color w:val="auto"/>
          </w:rPr>
          <w:t xml:space="preserve"> Precalificación de las Ofertas de Venta</w:t>
        </w:r>
        <w:r w:rsidR="008641E7" w:rsidRPr="0065554C">
          <w:rPr>
            <w:webHidden/>
          </w:rPr>
          <w:tab/>
        </w:r>
        <w:r w:rsidR="008641E7" w:rsidRPr="0065554C">
          <w:rPr>
            <w:webHidden/>
          </w:rPr>
          <w:fldChar w:fldCharType="begin"/>
        </w:r>
        <w:r w:rsidR="008641E7" w:rsidRPr="0065554C">
          <w:rPr>
            <w:webHidden/>
          </w:rPr>
          <w:instrText xml:space="preserve"> PAGEREF _Toc509413018 \h </w:instrText>
        </w:r>
        <w:r w:rsidR="008641E7" w:rsidRPr="0065554C">
          <w:rPr>
            <w:webHidden/>
          </w:rPr>
        </w:r>
        <w:r w:rsidR="008641E7" w:rsidRPr="0065554C">
          <w:rPr>
            <w:webHidden/>
          </w:rPr>
          <w:fldChar w:fldCharType="separate"/>
        </w:r>
        <w:r w:rsidR="009F3E59" w:rsidRPr="0065554C">
          <w:rPr>
            <w:webHidden/>
          </w:rPr>
          <w:t>47</w:t>
        </w:r>
        <w:r w:rsidR="008641E7" w:rsidRPr="0065554C">
          <w:rPr>
            <w:webHidden/>
          </w:rPr>
          <w:fldChar w:fldCharType="end"/>
        </w:r>
      </w:hyperlink>
    </w:p>
    <w:p w14:paraId="41B40F77" w14:textId="77777777" w:rsidR="008641E7" w:rsidRPr="0065554C" w:rsidRDefault="00140072">
      <w:pPr>
        <w:pStyle w:val="TDC2"/>
        <w:rPr>
          <w:rFonts w:cstheme="minorBidi"/>
          <w:snapToGrid/>
          <w:w w:val="100"/>
          <w:sz w:val="22"/>
          <w:lang w:bidi="ar-SA"/>
        </w:rPr>
      </w:pPr>
      <w:hyperlink w:anchor="_Toc509413019" w:history="1">
        <w:r w:rsidR="008641E7" w:rsidRPr="0065554C">
          <w:rPr>
            <w:rStyle w:val="Hipervnculo"/>
            <w:rFonts w:ascii="Calibri" w:hAnsi="Calibri"/>
            <w:color w:val="auto"/>
          </w:rPr>
          <w:t>5.1</w:t>
        </w:r>
        <w:r w:rsidR="008641E7" w:rsidRPr="0065554C">
          <w:rPr>
            <w:rFonts w:cstheme="minorBidi"/>
            <w:snapToGrid/>
            <w:w w:val="100"/>
            <w:sz w:val="22"/>
            <w:lang w:bidi="ar-SA"/>
          </w:rPr>
          <w:tab/>
        </w:r>
        <w:r w:rsidR="008641E7" w:rsidRPr="0065554C">
          <w:rPr>
            <w:rStyle w:val="Hipervnculo"/>
            <w:color w:val="auto"/>
          </w:rPr>
          <w:t>Disposiciones generales</w:t>
        </w:r>
        <w:r w:rsidR="008641E7" w:rsidRPr="0065554C">
          <w:rPr>
            <w:webHidden/>
          </w:rPr>
          <w:tab/>
        </w:r>
        <w:r w:rsidR="008641E7" w:rsidRPr="0065554C">
          <w:rPr>
            <w:webHidden/>
          </w:rPr>
          <w:fldChar w:fldCharType="begin"/>
        </w:r>
        <w:r w:rsidR="008641E7" w:rsidRPr="0065554C">
          <w:rPr>
            <w:webHidden/>
          </w:rPr>
          <w:instrText xml:space="preserve"> PAGEREF _Toc509413019 \h </w:instrText>
        </w:r>
        <w:r w:rsidR="008641E7" w:rsidRPr="0065554C">
          <w:rPr>
            <w:webHidden/>
          </w:rPr>
        </w:r>
        <w:r w:rsidR="008641E7" w:rsidRPr="0065554C">
          <w:rPr>
            <w:webHidden/>
          </w:rPr>
          <w:fldChar w:fldCharType="separate"/>
        </w:r>
        <w:r w:rsidR="009F3E59" w:rsidRPr="0065554C">
          <w:rPr>
            <w:webHidden/>
          </w:rPr>
          <w:t>47</w:t>
        </w:r>
        <w:r w:rsidR="008641E7" w:rsidRPr="0065554C">
          <w:rPr>
            <w:webHidden/>
          </w:rPr>
          <w:fldChar w:fldCharType="end"/>
        </w:r>
      </w:hyperlink>
    </w:p>
    <w:p w14:paraId="33C22B49" w14:textId="77777777" w:rsidR="008641E7" w:rsidRPr="0065554C" w:rsidRDefault="00140072">
      <w:pPr>
        <w:pStyle w:val="TDC2"/>
        <w:rPr>
          <w:rFonts w:cstheme="minorBidi"/>
          <w:snapToGrid/>
          <w:w w:val="100"/>
          <w:sz w:val="22"/>
          <w:lang w:bidi="ar-SA"/>
        </w:rPr>
      </w:pPr>
      <w:hyperlink w:anchor="_Toc509413020" w:history="1">
        <w:r w:rsidR="008641E7" w:rsidRPr="0065554C">
          <w:rPr>
            <w:rStyle w:val="Hipervnculo"/>
            <w:rFonts w:ascii="Calibri" w:hAnsi="Calibri"/>
            <w:color w:val="auto"/>
          </w:rPr>
          <w:t>5.2</w:t>
        </w:r>
        <w:r w:rsidR="008641E7" w:rsidRPr="0065554C">
          <w:rPr>
            <w:rFonts w:cstheme="minorBidi"/>
            <w:snapToGrid/>
            <w:w w:val="100"/>
            <w:sz w:val="22"/>
            <w:lang w:bidi="ar-SA"/>
          </w:rPr>
          <w:tab/>
        </w:r>
        <w:r w:rsidR="008641E7" w:rsidRPr="0065554C">
          <w:rPr>
            <w:rStyle w:val="Hipervnculo"/>
            <w:color w:val="auto"/>
          </w:rPr>
          <w:t>Requisitos para la precalificación de Ofertas de Venta.</w:t>
        </w:r>
        <w:r w:rsidR="008641E7" w:rsidRPr="0065554C">
          <w:rPr>
            <w:webHidden/>
          </w:rPr>
          <w:tab/>
        </w:r>
        <w:r w:rsidR="008641E7" w:rsidRPr="0065554C">
          <w:rPr>
            <w:webHidden/>
          </w:rPr>
          <w:fldChar w:fldCharType="begin"/>
        </w:r>
        <w:r w:rsidR="008641E7" w:rsidRPr="0065554C">
          <w:rPr>
            <w:webHidden/>
          </w:rPr>
          <w:instrText xml:space="preserve"> PAGEREF _Toc509413020 \h </w:instrText>
        </w:r>
        <w:r w:rsidR="008641E7" w:rsidRPr="0065554C">
          <w:rPr>
            <w:webHidden/>
          </w:rPr>
        </w:r>
        <w:r w:rsidR="008641E7" w:rsidRPr="0065554C">
          <w:rPr>
            <w:webHidden/>
          </w:rPr>
          <w:fldChar w:fldCharType="separate"/>
        </w:r>
        <w:r w:rsidR="009F3E59" w:rsidRPr="0065554C">
          <w:rPr>
            <w:webHidden/>
          </w:rPr>
          <w:t>48</w:t>
        </w:r>
        <w:r w:rsidR="008641E7" w:rsidRPr="0065554C">
          <w:rPr>
            <w:webHidden/>
          </w:rPr>
          <w:fldChar w:fldCharType="end"/>
        </w:r>
      </w:hyperlink>
    </w:p>
    <w:p w14:paraId="3B036E4E" w14:textId="77777777" w:rsidR="008641E7" w:rsidRPr="0065554C" w:rsidRDefault="00140072">
      <w:pPr>
        <w:pStyle w:val="TDC2"/>
        <w:rPr>
          <w:rFonts w:cstheme="minorBidi"/>
          <w:snapToGrid/>
          <w:w w:val="100"/>
          <w:sz w:val="22"/>
          <w:lang w:bidi="ar-SA"/>
        </w:rPr>
      </w:pPr>
      <w:hyperlink w:anchor="_Toc509413021" w:history="1">
        <w:r w:rsidR="008641E7" w:rsidRPr="0065554C">
          <w:rPr>
            <w:rStyle w:val="Hipervnculo"/>
            <w:rFonts w:ascii="Calibri" w:hAnsi="Calibri"/>
            <w:color w:val="auto"/>
          </w:rPr>
          <w:t>5.3</w:t>
        </w:r>
        <w:r w:rsidR="008641E7" w:rsidRPr="0065554C">
          <w:rPr>
            <w:rFonts w:cstheme="minorBidi"/>
            <w:snapToGrid/>
            <w:w w:val="100"/>
            <w:sz w:val="22"/>
            <w:lang w:bidi="ar-SA"/>
          </w:rPr>
          <w:tab/>
        </w:r>
        <w:r w:rsidR="008641E7" w:rsidRPr="0065554C">
          <w:rPr>
            <w:rStyle w:val="Hipervnculo"/>
            <w:color w:val="auto"/>
          </w:rPr>
          <w:t>Solicitudes de precalificación de Ofertas de Venta</w:t>
        </w:r>
        <w:r w:rsidR="008641E7" w:rsidRPr="0065554C">
          <w:rPr>
            <w:webHidden/>
          </w:rPr>
          <w:tab/>
        </w:r>
        <w:r w:rsidR="008641E7" w:rsidRPr="0065554C">
          <w:rPr>
            <w:webHidden/>
          </w:rPr>
          <w:fldChar w:fldCharType="begin"/>
        </w:r>
        <w:r w:rsidR="008641E7" w:rsidRPr="0065554C">
          <w:rPr>
            <w:webHidden/>
          </w:rPr>
          <w:instrText xml:space="preserve"> PAGEREF _Toc509413021 \h </w:instrText>
        </w:r>
        <w:r w:rsidR="008641E7" w:rsidRPr="0065554C">
          <w:rPr>
            <w:webHidden/>
          </w:rPr>
        </w:r>
        <w:r w:rsidR="008641E7" w:rsidRPr="0065554C">
          <w:rPr>
            <w:webHidden/>
          </w:rPr>
          <w:fldChar w:fldCharType="separate"/>
        </w:r>
        <w:r w:rsidR="009F3E59" w:rsidRPr="0065554C">
          <w:rPr>
            <w:webHidden/>
          </w:rPr>
          <w:t>52</w:t>
        </w:r>
        <w:r w:rsidR="008641E7" w:rsidRPr="0065554C">
          <w:rPr>
            <w:webHidden/>
          </w:rPr>
          <w:fldChar w:fldCharType="end"/>
        </w:r>
      </w:hyperlink>
    </w:p>
    <w:p w14:paraId="0DAB7790" w14:textId="77777777" w:rsidR="008641E7" w:rsidRPr="0065554C" w:rsidRDefault="00140072">
      <w:pPr>
        <w:pStyle w:val="TDC2"/>
        <w:rPr>
          <w:rFonts w:cstheme="minorBidi"/>
          <w:snapToGrid/>
          <w:w w:val="100"/>
          <w:sz w:val="22"/>
          <w:lang w:bidi="ar-SA"/>
        </w:rPr>
      </w:pPr>
      <w:hyperlink w:anchor="_Toc509413022" w:history="1">
        <w:r w:rsidR="008641E7" w:rsidRPr="0065554C">
          <w:rPr>
            <w:rStyle w:val="Hipervnculo"/>
            <w:rFonts w:ascii="Calibri" w:hAnsi="Calibri"/>
            <w:color w:val="auto"/>
          </w:rPr>
          <w:t>5.4</w:t>
        </w:r>
        <w:r w:rsidR="008641E7" w:rsidRPr="0065554C">
          <w:rPr>
            <w:rFonts w:cstheme="minorBidi"/>
            <w:snapToGrid/>
            <w:w w:val="100"/>
            <w:sz w:val="22"/>
            <w:lang w:bidi="ar-SA"/>
          </w:rPr>
          <w:tab/>
        </w:r>
        <w:r w:rsidR="008641E7" w:rsidRPr="0065554C">
          <w:rPr>
            <w:rStyle w:val="Hipervnculo"/>
            <w:color w:val="auto"/>
          </w:rPr>
          <w:t>Evaluación de las solicitudes de Precalificación de Ofertas de Venta</w:t>
        </w:r>
        <w:r w:rsidR="008641E7" w:rsidRPr="0065554C">
          <w:rPr>
            <w:webHidden/>
          </w:rPr>
          <w:tab/>
        </w:r>
        <w:r w:rsidR="008641E7" w:rsidRPr="0065554C">
          <w:rPr>
            <w:webHidden/>
          </w:rPr>
          <w:fldChar w:fldCharType="begin"/>
        </w:r>
        <w:r w:rsidR="008641E7" w:rsidRPr="0065554C">
          <w:rPr>
            <w:webHidden/>
          </w:rPr>
          <w:instrText xml:space="preserve"> PAGEREF _Toc509413022 \h </w:instrText>
        </w:r>
        <w:r w:rsidR="008641E7" w:rsidRPr="0065554C">
          <w:rPr>
            <w:webHidden/>
          </w:rPr>
        </w:r>
        <w:r w:rsidR="008641E7" w:rsidRPr="0065554C">
          <w:rPr>
            <w:webHidden/>
          </w:rPr>
          <w:fldChar w:fldCharType="separate"/>
        </w:r>
        <w:r w:rsidR="009F3E59" w:rsidRPr="0065554C">
          <w:rPr>
            <w:webHidden/>
          </w:rPr>
          <w:t>58</w:t>
        </w:r>
        <w:r w:rsidR="008641E7" w:rsidRPr="0065554C">
          <w:rPr>
            <w:webHidden/>
          </w:rPr>
          <w:fldChar w:fldCharType="end"/>
        </w:r>
      </w:hyperlink>
    </w:p>
    <w:p w14:paraId="06167EE5" w14:textId="77777777" w:rsidR="008641E7" w:rsidRPr="0065554C" w:rsidRDefault="00140072">
      <w:pPr>
        <w:pStyle w:val="TDC2"/>
        <w:rPr>
          <w:rFonts w:cstheme="minorBidi"/>
          <w:snapToGrid/>
          <w:w w:val="100"/>
          <w:sz w:val="22"/>
          <w:lang w:bidi="ar-SA"/>
        </w:rPr>
      </w:pPr>
      <w:hyperlink w:anchor="_Toc509413023" w:history="1">
        <w:r w:rsidR="008641E7" w:rsidRPr="0065554C">
          <w:rPr>
            <w:rStyle w:val="Hipervnculo"/>
            <w:rFonts w:ascii="Calibri" w:hAnsi="Calibri"/>
            <w:color w:val="auto"/>
          </w:rPr>
          <w:t>5.5</w:t>
        </w:r>
        <w:r w:rsidR="008641E7" w:rsidRPr="0065554C">
          <w:rPr>
            <w:rFonts w:cstheme="minorBidi"/>
            <w:snapToGrid/>
            <w:w w:val="100"/>
            <w:sz w:val="22"/>
            <w:lang w:bidi="ar-SA"/>
          </w:rPr>
          <w:tab/>
        </w:r>
        <w:r w:rsidR="008641E7" w:rsidRPr="0065554C">
          <w:rPr>
            <w:rStyle w:val="Hipervnculo"/>
            <w:color w:val="auto"/>
          </w:rPr>
          <w:t>Garantía de Seriedad para las Ofertas de Venta</w:t>
        </w:r>
        <w:r w:rsidR="008641E7" w:rsidRPr="0065554C">
          <w:rPr>
            <w:webHidden/>
          </w:rPr>
          <w:tab/>
        </w:r>
        <w:r w:rsidR="008641E7" w:rsidRPr="0065554C">
          <w:rPr>
            <w:webHidden/>
          </w:rPr>
          <w:fldChar w:fldCharType="begin"/>
        </w:r>
        <w:r w:rsidR="008641E7" w:rsidRPr="0065554C">
          <w:rPr>
            <w:webHidden/>
          </w:rPr>
          <w:instrText xml:space="preserve"> PAGEREF _Toc509413023 \h </w:instrText>
        </w:r>
        <w:r w:rsidR="008641E7" w:rsidRPr="0065554C">
          <w:rPr>
            <w:webHidden/>
          </w:rPr>
        </w:r>
        <w:r w:rsidR="008641E7" w:rsidRPr="0065554C">
          <w:rPr>
            <w:webHidden/>
          </w:rPr>
          <w:fldChar w:fldCharType="separate"/>
        </w:r>
        <w:r w:rsidR="009F3E59" w:rsidRPr="0065554C">
          <w:rPr>
            <w:webHidden/>
          </w:rPr>
          <w:t>60</w:t>
        </w:r>
        <w:r w:rsidR="008641E7" w:rsidRPr="0065554C">
          <w:rPr>
            <w:webHidden/>
          </w:rPr>
          <w:fldChar w:fldCharType="end"/>
        </w:r>
      </w:hyperlink>
    </w:p>
    <w:p w14:paraId="280ED7C8" w14:textId="77777777" w:rsidR="008641E7" w:rsidRPr="0065554C" w:rsidRDefault="00140072">
      <w:pPr>
        <w:pStyle w:val="TDC2"/>
        <w:rPr>
          <w:rFonts w:cstheme="minorBidi"/>
          <w:snapToGrid/>
          <w:w w:val="100"/>
          <w:sz w:val="22"/>
          <w:lang w:bidi="ar-SA"/>
        </w:rPr>
      </w:pPr>
      <w:hyperlink w:anchor="_Toc509413024" w:history="1">
        <w:r w:rsidR="008641E7" w:rsidRPr="0065554C">
          <w:rPr>
            <w:rStyle w:val="Hipervnculo"/>
            <w:rFonts w:ascii="Calibri" w:hAnsi="Calibri"/>
            <w:color w:val="auto"/>
          </w:rPr>
          <w:t>5.6</w:t>
        </w:r>
        <w:r w:rsidR="008641E7" w:rsidRPr="0065554C">
          <w:rPr>
            <w:rFonts w:cstheme="minorBidi"/>
            <w:snapToGrid/>
            <w:w w:val="100"/>
            <w:sz w:val="22"/>
            <w:lang w:bidi="ar-SA"/>
          </w:rPr>
          <w:tab/>
        </w:r>
        <w:r w:rsidR="008641E7" w:rsidRPr="0065554C">
          <w:rPr>
            <w:rStyle w:val="Hipervnculo"/>
            <w:color w:val="auto"/>
          </w:rPr>
          <w:t>Resultados de la precalificación de Ofertas de Venta</w:t>
        </w:r>
        <w:r w:rsidR="008641E7" w:rsidRPr="0065554C">
          <w:rPr>
            <w:webHidden/>
          </w:rPr>
          <w:tab/>
        </w:r>
        <w:r w:rsidR="008641E7" w:rsidRPr="0065554C">
          <w:rPr>
            <w:webHidden/>
          </w:rPr>
          <w:fldChar w:fldCharType="begin"/>
        </w:r>
        <w:r w:rsidR="008641E7" w:rsidRPr="0065554C">
          <w:rPr>
            <w:webHidden/>
          </w:rPr>
          <w:instrText xml:space="preserve"> PAGEREF _Toc509413024 \h </w:instrText>
        </w:r>
        <w:r w:rsidR="008641E7" w:rsidRPr="0065554C">
          <w:rPr>
            <w:webHidden/>
          </w:rPr>
        </w:r>
        <w:r w:rsidR="008641E7" w:rsidRPr="0065554C">
          <w:rPr>
            <w:webHidden/>
          </w:rPr>
          <w:fldChar w:fldCharType="separate"/>
        </w:r>
        <w:r w:rsidR="009F3E59" w:rsidRPr="0065554C">
          <w:rPr>
            <w:webHidden/>
          </w:rPr>
          <w:t>66</w:t>
        </w:r>
        <w:r w:rsidR="008641E7" w:rsidRPr="0065554C">
          <w:rPr>
            <w:webHidden/>
          </w:rPr>
          <w:fldChar w:fldCharType="end"/>
        </w:r>
      </w:hyperlink>
    </w:p>
    <w:p w14:paraId="5C78DD29" w14:textId="77777777" w:rsidR="008641E7" w:rsidRPr="0065554C" w:rsidRDefault="00140072">
      <w:pPr>
        <w:pStyle w:val="TDC2"/>
        <w:rPr>
          <w:rFonts w:cstheme="minorBidi"/>
          <w:snapToGrid/>
          <w:w w:val="100"/>
          <w:sz w:val="22"/>
          <w:lang w:bidi="ar-SA"/>
        </w:rPr>
      </w:pPr>
      <w:hyperlink w:anchor="_Toc509413025" w:history="1">
        <w:r w:rsidR="008641E7" w:rsidRPr="0065554C">
          <w:rPr>
            <w:rStyle w:val="Hipervnculo"/>
            <w:rFonts w:ascii="Calibri" w:hAnsi="Calibri"/>
            <w:color w:val="auto"/>
          </w:rPr>
          <w:t>5.7</w:t>
        </w:r>
        <w:r w:rsidR="008641E7" w:rsidRPr="0065554C">
          <w:rPr>
            <w:rFonts w:cstheme="minorBidi"/>
            <w:snapToGrid/>
            <w:w w:val="100"/>
            <w:sz w:val="22"/>
            <w:lang w:bidi="ar-SA"/>
          </w:rPr>
          <w:tab/>
        </w:r>
        <w:r w:rsidR="008641E7" w:rsidRPr="0065554C">
          <w:rPr>
            <w:rStyle w:val="Hipervnculo"/>
            <w:color w:val="auto"/>
          </w:rPr>
          <w:t>Desistimiento de las Ofertas de Venta</w:t>
        </w:r>
        <w:r w:rsidR="008641E7" w:rsidRPr="0065554C">
          <w:rPr>
            <w:webHidden/>
          </w:rPr>
          <w:tab/>
        </w:r>
        <w:r w:rsidR="008641E7" w:rsidRPr="0065554C">
          <w:rPr>
            <w:webHidden/>
          </w:rPr>
          <w:fldChar w:fldCharType="begin"/>
        </w:r>
        <w:r w:rsidR="008641E7" w:rsidRPr="0065554C">
          <w:rPr>
            <w:webHidden/>
          </w:rPr>
          <w:instrText xml:space="preserve"> PAGEREF _Toc509413025 \h </w:instrText>
        </w:r>
        <w:r w:rsidR="008641E7" w:rsidRPr="0065554C">
          <w:rPr>
            <w:webHidden/>
          </w:rPr>
        </w:r>
        <w:r w:rsidR="008641E7" w:rsidRPr="0065554C">
          <w:rPr>
            <w:webHidden/>
          </w:rPr>
          <w:fldChar w:fldCharType="separate"/>
        </w:r>
        <w:r w:rsidR="009F3E59" w:rsidRPr="0065554C">
          <w:rPr>
            <w:webHidden/>
          </w:rPr>
          <w:t>66</w:t>
        </w:r>
        <w:r w:rsidR="008641E7" w:rsidRPr="0065554C">
          <w:rPr>
            <w:webHidden/>
          </w:rPr>
          <w:fldChar w:fldCharType="end"/>
        </w:r>
      </w:hyperlink>
    </w:p>
    <w:p w14:paraId="23C94F01" w14:textId="77777777" w:rsidR="008641E7" w:rsidRPr="0065554C" w:rsidRDefault="00140072">
      <w:pPr>
        <w:pStyle w:val="TDC2"/>
        <w:rPr>
          <w:rFonts w:cstheme="minorBidi"/>
          <w:snapToGrid/>
          <w:w w:val="100"/>
          <w:sz w:val="22"/>
          <w:lang w:bidi="ar-SA"/>
        </w:rPr>
      </w:pPr>
      <w:hyperlink w:anchor="_Toc509413026" w:history="1">
        <w:r w:rsidR="008641E7" w:rsidRPr="0065554C">
          <w:rPr>
            <w:rStyle w:val="Hipervnculo"/>
            <w:rFonts w:ascii="Calibri" w:hAnsi="Calibri"/>
            <w:color w:val="auto"/>
          </w:rPr>
          <w:t>5.8</w:t>
        </w:r>
        <w:r w:rsidR="008641E7" w:rsidRPr="0065554C">
          <w:rPr>
            <w:rFonts w:cstheme="minorBidi"/>
            <w:snapToGrid/>
            <w:w w:val="100"/>
            <w:sz w:val="22"/>
            <w:lang w:bidi="ar-SA"/>
          </w:rPr>
          <w:tab/>
        </w:r>
        <w:r w:rsidR="008641E7" w:rsidRPr="0065554C">
          <w:rPr>
            <w:rStyle w:val="Hipervnculo"/>
            <w:color w:val="auto"/>
          </w:rPr>
          <w:t>Modificaciones a las solicitudes de precalificación de Ofertas de Venta</w:t>
        </w:r>
        <w:r w:rsidR="008641E7" w:rsidRPr="0065554C">
          <w:rPr>
            <w:webHidden/>
          </w:rPr>
          <w:tab/>
        </w:r>
        <w:r w:rsidR="008641E7" w:rsidRPr="0065554C">
          <w:rPr>
            <w:webHidden/>
          </w:rPr>
          <w:fldChar w:fldCharType="begin"/>
        </w:r>
        <w:r w:rsidR="008641E7" w:rsidRPr="0065554C">
          <w:rPr>
            <w:webHidden/>
          </w:rPr>
          <w:instrText xml:space="preserve"> PAGEREF _Toc509413026 \h </w:instrText>
        </w:r>
        <w:r w:rsidR="008641E7" w:rsidRPr="0065554C">
          <w:rPr>
            <w:webHidden/>
          </w:rPr>
        </w:r>
        <w:r w:rsidR="008641E7" w:rsidRPr="0065554C">
          <w:rPr>
            <w:webHidden/>
          </w:rPr>
          <w:fldChar w:fldCharType="separate"/>
        </w:r>
        <w:r w:rsidR="009F3E59" w:rsidRPr="0065554C">
          <w:rPr>
            <w:webHidden/>
          </w:rPr>
          <w:t>67</w:t>
        </w:r>
        <w:r w:rsidR="008641E7" w:rsidRPr="0065554C">
          <w:rPr>
            <w:webHidden/>
          </w:rPr>
          <w:fldChar w:fldCharType="end"/>
        </w:r>
      </w:hyperlink>
    </w:p>
    <w:p w14:paraId="7CE89C6C" w14:textId="77777777" w:rsidR="008641E7" w:rsidRPr="0065554C" w:rsidRDefault="00140072">
      <w:pPr>
        <w:pStyle w:val="TDC1"/>
        <w:rPr>
          <w:rFonts w:cstheme="minorBidi"/>
          <w:b w:val="0"/>
          <w:sz w:val="22"/>
          <w:szCs w:val="22"/>
          <w:lang w:val="es-MX" w:eastAsia="es-MX" w:bidi="ar-SA"/>
        </w:rPr>
      </w:pPr>
      <w:hyperlink w:anchor="_Toc509413027" w:history="1">
        <w:r w:rsidR="008641E7" w:rsidRPr="0065554C">
          <w:rPr>
            <w:rStyle w:val="Hipervnculo"/>
            <w:color w:val="auto"/>
            <w:lang w:bidi="x-none"/>
            <w14:scene3d>
              <w14:camera w14:prst="orthographicFront"/>
              <w14:lightRig w14:rig="threePt" w14:dir="t">
                <w14:rot w14:lat="0" w14:lon="0" w14:rev="0"/>
              </w14:lightRig>
            </w14:scene3d>
          </w:rPr>
          <w:t>CAPÍTULO 6</w:t>
        </w:r>
        <w:r w:rsidR="008641E7" w:rsidRPr="0065554C">
          <w:rPr>
            <w:rStyle w:val="Hipervnculo"/>
            <w:color w:val="auto"/>
          </w:rPr>
          <w:t xml:space="preserve"> Evaluación de las Ofertas de Venta</w:t>
        </w:r>
        <w:r w:rsidR="008641E7" w:rsidRPr="0065554C">
          <w:rPr>
            <w:webHidden/>
          </w:rPr>
          <w:tab/>
        </w:r>
        <w:r w:rsidR="008641E7" w:rsidRPr="0065554C">
          <w:rPr>
            <w:webHidden/>
          </w:rPr>
          <w:fldChar w:fldCharType="begin"/>
        </w:r>
        <w:r w:rsidR="008641E7" w:rsidRPr="0065554C">
          <w:rPr>
            <w:webHidden/>
          </w:rPr>
          <w:instrText xml:space="preserve"> PAGEREF _Toc509413027 \h </w:instrText>
        </w:r>
        <w:r w:rsidR="008641E7" w:rsidRPr="0065554C">
          <w:rPr>
            <w:webHidden/>
          </w:rPr>
        </w:r>
        <w:r w:rsidR="008641E7" w:rsidRPr="0065554C">
          <w:rPr>
            <w:webHidden/>
          </w:rPr>
          <w:fldChar w:fldCharType="separate"/>
        </w:r>
        <w:r w:rsidR="009F3E59" w:rsidRPr="0065554C">
          <w:rPr>
            <w:webHidden/>
          </w:rPr>
          <w:t>69</w:t>
        </w:r>
        <w:r w:rsidR="008641E7" w:rsidRPr="0065554C">
          <w:rPr>
            <w:webHidden/>
          </w:rPr>
          <w:fldChar w:fldCharType="end"/>
        </w:r>
      </w:hyperlink>
    </w:p>
    <w:p w14:paraId="02C5CAE2" w14:textId="77777777" w:rsidR="008641E7" w:rsidRPr="0065554C" w:rsidRDefault="00140072">
      <w:pPr>
        <w:pStyle w:val="TDC2"/>
        <w:rPr>
          <w:rFonts w:cstheme="minorBidi"/>
          <w:snapToGrid/>
          <w:w w:val="100"/>
          <w:sz w:val="22"/>
          <w:lang w:bidi="ar-SA"/>
        </w:rPr>
      </w:pPr>
      <w:hyperlink w:anchor="_Toc509413028" w:history="1">
        <w:r w:rsidR="008641E7" w:rsidRPr="0065554C">
          <w:rPr>
            <w:rStyle w:val="Hipervnculo"/>
            <w:rFonts w:ascii="Calibri" w:hAnsi="Calibri"/>
            <w:color w:val="auto"/>
          </w:rPr>
          <w:t>6.1</w:t>
        </w:r>
        <w:r w:rsidR="008641E7" w:rsidRPr="0065554C">
          <w:rPr>
            <w:rFonts w:cstheme="minorBidi"/>
            <w:snapToGrid/>
            <w:w w:val="100"/>
            <w:sz w:val="22"/>
            <w:lang w:bidi="ar-SA"/>
          </w:rPr>
          <w:tab/>
        </w:r>
        <w:r w:rsidR="008641E7" w:rsidRPr="0065554C">
          <w:rPr>
            <w:rStyle w:val="Hipervnculo"/>
            <w:color w:val="auto"/>
          </w:rPr>
          <w:t>Integración de las ofertas económicas de las Ofertas de Venta</w:t>
        </w:r>
        <w:r w:rsidR="008641E7" w:rsidRPr="0065554C">
          <w:rPr>
            <w:webHidden/>
          </w:rPr>
          <w:tab/>
        </w:r>
        <w:r w:rsidR="008641E7" w:rsidRPr="0065554C">
          <w:rPr>
            <w:webHidden/>
          </w:rPr>
          <w:fldChar w:fldCharType="begin"/>
        </w:r>
        <w:r w:rsidR="008641E7" w:rsidRPr="0065554C">
          <w:rPr>
            <w:webHidden/>
          </w:rPr>
          <w:instrText xml:space="preserve"> PAGEREF _Toc509413028 \h </w:instrText>
        </w:r>
        <w:r w:rsidR="008641E7" w:rsidRPr="0065554C">
          <w:rPr>
            <w:webHidden/>
          </w:rPr>
        </w:r>
        <w:r w:rsidR="008641E7" w:rsidRPr="0065554C">
          <w:rPr>
            <w:webHidden/>
          </w:rPr>
          <w:fldChar w:fldCharType="separate"/>
        </w:r>
        <w:r w:rsidR="009F3E59" w:rsidRPr="0065554C">
          <w:rPr>
            <w:webHidden/>
          </w:rPr>
          <w:t>69</w:t>
        </w:r>
        <w:r w:rsidR="008641E7" w:rsidRPr="0065554C">
          <w:rPr>
            <w:webHidden/>
          </w:rPr>
          <w:fldChar w:fldCharType="end"/>
        </w:r>
      </w:hyperlink>
    </w:p>
    <w:p w14:paraId="7904E616" w14:textId="77777777" w:rsidR="008641E7" w:rsidRPr="0065554C" w:rsidRDefault="00140072">
      <w:pPr>
        <w:pStyle w:val="TDC2"/>
        <w:rPr>
          <w:rFonts w:cstheme="minorBidi"/>
          <w:snapToGrid/>
          <w:w w:val="100"/>
          <w:sz w:val="22"/>
          <w:lang w:bidi="ar-SA"/>
        </w:rPr>
      </w:pPr>
      <w:hyperlink w:anchor="_Toc509413029" w:history="1">
        <w:r w:rsidR="008641E7" w:rsidRPr="0065554C">
          <w:rPr>
            <w:rStyle w:val="Hipervnculo"/>
            <w:rFonts w:ascii="Calibri" w:hAnsi="Calibri"/>
            <w:color w:val="auto"/>
          </w:rPr>
          <w:t>6.2</w:t>
        </w:r>
        <w:r w:rsidR="008641E7" w:rsidRPr="0065554C">
          <w:rPr>
            <w:rFonts w:cstheme="minorBidi"/>
            <w:snapToGrid/>
            <w:w w:val="100"/>
            <w:sz w:val="22"/>
            <w:lang w:bidi="ar-SA"/>
          </w:rPr>
          <w:tab/>
        </w:r>
        <w:r w:rsidR="008641E7" w:rsidRPr="0065554C">
          <w:rPr>
            <w:rStyle w:val="Hipervnculo"/>
            <w:color w:val="auto"/>
          </w:rPr>
          <w:t>Presentación de las ofertas económicas de las Ofertas de Venta</w:t>
        </w:r>
        <w:r w:rsidR="008641E7" w:rsidRPr="0065554C">
          <w:rPr>
            <w:webHidden/>
          </w:rPr>
          <w:tab/>
        </w:r>
        <w:r w:rsidR="008641E7" w:rsidRPr="0065554C">
          <w:rPr>
            <w:webHidden/>
          </w:rPr>
          <w:fldChar w:fldCharType="begin"/>
        </w:r>
        <w:r w:rsidR="008641E7" w:rsidRPr="0065554C">
          <w:rPr>
            <w:webHidden/>
          </w:rPr>
          <w:instrText xml:space="preserve"> PAGEREF _Toc509413029 \h </w:instrText>
        </w:r>
        <w:r w:rsidR="008641E7" w:rsidRPr="0065554C">
          <w:rPr>
            <w:webHidden/>
          </w:rPr>
        </w:r>
        <w:r w:rsidR="008641E7" w:rsidRPr="0065554C">
          <w:rPr>
            <w:webHidden/>
          </w:rPr>
          <w:fldChar w:fldCharType="separate"/>
        </w:r>
        <w:r w:rsidR="009F3E59" w:rsidRPr="0065554C">
          <w:rPr>
            <w:webHidden/>
          </w:rPr>
          <w:t>70</w:t>
        </w:r>
        <w:r w:rsidR="008641E7" w:rsidRPr="0065554C">
          <w:rPr>
            <w:webHidden/>
          </w:rPr>
          <w:fldChar w:fldCharType="end"/>
        </w:r>
      </w:hyperlink>
    </w:p>
    <w:p w14:paraId="4BFBDDB8" w14:textId="77777777" w:rsidR="008641E7" w:rsidRPr="0065554C" w:rsidRDefault="00140072">
      <w:pPr>
        <w:pStyle w:val="TDC2"/>
        <w:rPr>
          <w:rFonts w:cstheme="minorBidi"/>
          <w:snapToGrid/>
          <w:w w:val="100"/>
          <w:sz w:val="22"/>
          <w:lang w:bidi="ar-SA"/>
        </w:rPr>
      </w:pPr>
      <w:hyperlink w:anchor="_Toc509413030" w:history="1">
        <w:r w:rsidR="008641E7" w:rsidRPr="0065554C">
          <w:rPr>
            <w:rStyle w:val="Hipervnculo"/>
            <w:rFonts w:ascii="Calibri" w:hAnsi="Calibri"/>
            <w:color w:val="auto"/>
          </w:rPr>
          <w:t>6.3</w:t>
        </w:r>
        <w:r w:rsidR="008641E7" w:rsidRPr="0065554C">
          <w:rPr>
            <w:rFonts w:cstheme="minorBidi"/>
            <w:snapToGrid/>
            <w:w w:val="100"/>
            <w:sz w:val="22"/>
            <w:lang w:bidi="ar-SA"/>
          </w:rPr>
          <w:tab/>
        </w:r>
        <w:r w:rsidR="008641E7" w:rsidRPr="0065554C">
          <w:rPr>
            <w:rStyle w:val="Hipervnculo"/>
            <w:color w:val="auto"/>
          </w:rPr>
          <w:t>Periodo de vigencia de las Oferta de Venta</w:t>
        </w:r>
        <w:r w:rsidR="008641E7" w:rsidRPr="0065554C">
          <w:rPr>
            <w:webHidden/>
          </w:rPr>
          <w:tab/>
        </w:r>
        <w:r w:rsidR="008641E7" w:rsidRPr="0065554C">
          <w:rPr>
            <w:webHidden/>
          </w:rPr>
          <w:fldChar w:fldCharType="begin"/>
        </w:r>
        <w:r w:rsidR="008641E7" w:rsidRPr="0065554C">
          <w:rPr>
            <w:webHidden/>
          </w:rPr>
          <w:instrText xml:space="preserve"> PAGEREF _Toc509413030 \h </w:instrText>
        </w:r>
        <w:r w:rsidR="008641E7" w:rsidRPr="0065554C">
          <w:rPr>
            <w:webHidden/>
          </w:rPr>
        </w:r>
        <w:r w:rsidR="008641E7" w:rsidRPr="0065554C">
          <w:rPr>
            <w:webHidden/>
          </w:rPr>
          <w:fldChar w:fldCharType="separate"/>
        </w:r>
        <w:r w:rsidR="009F3E59" w:rsidRPr="0065554C">
          <w:rPr>
            <w:webHidden/>
          </w:rPr>
          <w:t>70</w:t>
        </w:r>
        <w:r w:rsidR="008641E7" w:rsidRPr="0065554C">
          <w:rPr>
            <w:webHidden/>
          </w:rPr>
          <w:fldChar w:fldCharType="end"/>
        </w:r>
      </w:hyperlink>
    </w:p>
    <w:p w14:paraId="1875B2D7" w14:textId="77777777" w:rsidR="008641E7" w:rsidRPr="0065554C" w:rsidRDefault="00140072">
      <w:pPr>
        <w:pStyle w:val="TDC2"/>
        <w:rPr>
          <w:rFonts w:cstheme="minorBidi"/>
          <w:snapToGrid/>
          <w:w w:val="100"/>
          <w:sz w:val="22"/>
          <w:lang w:bidi="ar-SA"/>
        </w:rPr>
      </w:pPr>
      <w:hyperlink w:anchor="_Toc509413031" w:history="1">
        <w:r w:rsidR="008641E7" w:rsidRPr="0065554C">
          <w:rPr>
            <w:rStyle w:val="Hipervnculo"/>
            <w:rFonts w:ascii="Calibri" w:hAnsi="Calibri"/>
            <w:color w:val="auto"/>
          </w:rPr>
          <w:t>6.4</w:t>
        </w:r>
        <w:r w:rsidR="008641E7" w:rsidRPr="0065554C">
          <w:rPr>
            <w:rFonts w:cstheme="minorBidi"/>
            <w:snapToGrid/>
            <w:w w:val="100"/>
            <w:sz w:val="22"/>
            <w:lang w:bidi="ar-SA"/>
          </w:rPr>
          <w:tab/>
        </w:r>
        <w:r w:rsidR="008641E7" w:rsidRPr="0065554C">
          <w:rPr>
            <w:rStyle w:val="Hipervnculo"/>
            <w:color w:val="auto"/>
          </w:rPr>
          <w:t>Procedimiento para la evaluación de las ofertas económicas de las Ofertas de Venta</w:t>
        </w:r>
        <w:r w:rsidR="008641E7" w:rsidRPr="0065554C">
          <w:rPr>
            <w:webHidden/>
          </w:rPr>
          <w:tab/>
        </w:r>
        <w:r w:rsidR="008641E7" w:rsidRPr="0065554C">
          <w:rPr>
            <w:webHidden/>
          </w:rPr>
          <w:fldChar w:fldCharType="begin"/>
        </w:r>
        <w:r w:rsidR="008641E7" w:rsidRPr="0065554C">
          <w:rPr>
            <w:webHidden/>
          </w:rPr>
          <w:instrText xml:space="preserve"> PAGEREF _Toc509413031 \h </w:instrText>
        </w:r>
        <w:r w:rsidR="008641E7" w:rsidRPr="0065554C">
          <w:rPr>
            <w:webHidden/>
          </w:rPr>
        </w:r>
        <w:r w:rsidR="008641E7" w:rsidRPr="0065554C">
          <w:rPr>
            <w:webHidden/>
          </w:rPr>
          <w:fldChar w:fldCharType="separate"/>
        </w:r>
        <w:r w:rsidR="009F3E59" w:rsidRPr="0065554C">
          <w:rPr>
            <w:webHidden/>
          </w:rPr>
          <w:t>71</w:t>
        </w:r>
        <w:r w:rsidR="008641E7" w:rsidRPr="0065554C">
          <w:rPr>
            <w:webHidden/>
          </w:rPr>
          <w:fldChar w:fldCharType="end"/>
        </w:r>
      </w:hyperlink>
    </w:p>
    <w:p w14:paraId="765A9128" w14:textId="77777777" w:rsidR="008641E7" w:rsidRPr="0065554C" w:rsidRDefault="00140072">
      <w:pPr>
        <w:pStyle w:val="TDC2"/>
        <w:rPr>
          <w:rFonts w:cstheme="minorBidi"/>
          <w:snapToGrid/>
          <w:w w:val="100"/>
          <w:sz w:val="22"/>
          <w:lang w:bidi="ar-SA"/>
        </w:rPr>
      </w:pPr>
      <w:hyperlink w:anchor="_Toc509413032" w:history="1">
        <w:r w:rsidR="008641E7" w:rsidRPr="0065554C">
          <w:rPr>
            <w:rStyle w:val="Hipervnculo"/>
            <w:rFonts w:ascii="Calibri" w:hAnsi="Calibri"/>
            <w:color w:val="auto"/>
          </w:rPr>
          <w:t>6.5</w:t>
        </w:r>
        <w:r w:rsidR="008641E7" w:rsidRPr="0065554C">
          <w:rPr>
            <w:rFonts w:cstheme="minorBidi"/>
            <w:snapToGrid/>
            <w:w w:val="100"/>
            <w:sz w:val="22"/>
            <w:lang w:bidi="ar-SA"/>
          </w:rPr>
          <w:tab/>
        </w:r>
        <w:r w:rsidR="008641E7" w:rsidRPr="0065554C">
          <w:rPr>
            <w:rStyle w:val="Hipervnculo"/>
            <w:color w:val="auto"/>
          </w:rPr>
          <w:t>Variables de asignación</w:t>
        </w:r>
        <w:r w:rsidR="008641E7" w:rsidRPr="0065554C">
          <w:rPr>
            <w:webHidden/>
          </w:rPr>
          <w:tab/>
        </w:r>
        <w:r w:rsidR="008641E7" w:rsidRPr="0065554C">
          <w:rPr>
            <w:webHidden/>
          </w:rPr>
          <w:fldChar w:fldCharType="begin"/>
        </w:r>
        <w:r w:rsidR="008641E7" w:rsidRPr="0065554C">
          <w:rPr>
            <w:webHidden/>
          </w:rPr>
          <w:instrText xml:space="preserve"> PAGEREF _Toc509413032 \h </w:instrText>
        </w:r>
        <w:r w:rsidR="008641E7" w:rsidRPr="0065554C">
          <w:rPr>
            <w:webHidden/>
          </w:rPr>
        </w:r>
        <w:r w:rsidR="008641E7" w:rsidRPr="0065554C">
          <w:rPr>
            <w:webHidden/>
          </w:rPr>
          <w:fldChar w:fldCharType="separate"/>
        </w:r>
        <w:r w:rsidR="009F3E59" w:rsidRPr="0065554C">
          <w:rPr>
            <w:webHidden/>
          </w:rPr>
          <w:t>73</w:t>
        </w:r>
        <w:r w:rsidR="008641E7" w:rsidRPr="0065554C">
          <w:rPr>
            <w:webHidden/>
          </w:rPr>
          <w:fldChar w:fldCharType="end"/>
        </w:r>
      </w:hyperlink>
    </w:p>
    <w:p w14:paraId="0B7FAE6F" w14:textId="77777777" w:rsidR="008641E7" w:rsidRPr="0065554C" w:rsidRDefault="00140072">
      <w:pPr>
        <w:pStyle w:val="TDC2"/>
        <w:rPr>
          <w:rFonts w:cstheme="minorBidi"/>
          <w:snapToGrid/>
          <w:w w:val="100"/>
          <w:sz w:val="22"/>
          <w:lang w:bidi="ar-SA"/>
        </w:rPr>
      </w:pPr>
      <w:hyperlink w:anchor="_Toc509413033" w:history="1">
        <w:r w:rsidR="008641E7" w:rsidRPr="0065554C">
          <w:rPr>
            <w:rStyle w:val="Hipervnculo"/>
            <w:rFonts w:ascii="Calibri" w:hAnsi="Calibri"/>
            <w:color w:val="auto"/>
          </w:rPr>
          <w:t>6.6</w:t>
        </w:r>
        <w:r w:rsidR="008641E7" w:rsidRPr="0065554C">
          <w:rPr>
            <w:rFonts w:cstheme="minorBidi"/>
            <w:snapToGrid/>
            <w:w w:val="100"/>
            <w:sz w:val="22"/>
            <w:lang w:bidi="ar-SA"/>
          </w:rPr>
          <w:tab/>
        </w:r>
        <w:r w:rsidR="008641E7" w:rsidRPr="0065554C">
          <w:rPr>
            <w:rStyle w:val="Hipervnculo"/>
            <w:color w:val="auto"/>
          </w:rPr>
          <w:t>Porcentaje Umbral</w:t>
        </w:r>
        <w:r w:rsidR="008641E7" w:rsidRPr="0065554C">
          <w:rPr>
            <w:webHidden/>
          </w:rPr>
          <w:tab/>
        </w:r>
        <w:r w:rsidR="008641E7" w:rsidRPr="0065554C">
          <w:rPr>
            <w:webHidden/>
          </w:rPr>
          <w:fldChar w:fldCharType="begin"/>
        </w:r>
        <w:r w:rsidR="008641E7" w:rsidRPr="0065554C">
          <w:rPr>
            <w:webHidden/>
          </w:rPr>
          <w:instrText xml:space="preserve"> PAGEREF _Toc509413033 \h </w:instrText>
        </w:r>
        <w:r w:rsidR="008641E7" w:rsidRPr="0065554C">
          <w:rPr>
            <w:webHidden/>
          </w:rPr>
        </w:r>
        <w:r w:rsidR="008641E7" w:rsidRPr="0065554C">
          <w:rPr>
            <w:webHidden/>
          </w:rPr>
          <w:fldChar w:fldCharType="separate"/>
        </w:r>
        <w:r w:rsidR="009F3E59" w:rsidRPr="0065554C">
          <w:rPr>
            <w:webHidden/>
          </w:rPr>
          <w:t>74</w:t>
        </w:r>
        <w:r w:rsidR="008641E7" w:rsidRPr="0065554C">
          <w:rPr>
            <w:webHidden/>
          </w:rPr>
          <w:fldChar w:fldCharType="end"/>
        </w:r>
      </w:hyperlink>
    </w:p>
    <w:p w14:paraId="3C539863" w14:textId="77777777" w:rsidR="008641E7" w:rsidRPr="0065554C" w:rsidRDefault="00140072">
      <w:pPr>
        <w:pStyle w:val="TDC2"/>
        <w:rPr>
          <w:rFonts w:cstheme="minorBidi"/>
          <w:snapToGrid/>
          <w:w w:val="100"/>
          <w:sz w:val="22"/>
          <w:lang w:bidi="ar-SA"/>
        </w:rPr>
      </w:pPr>
      <w:hyperlink w:anchor="_Toc509413034" w:history="1">
        <w:r w:rsidR="008641E7" w:rsidRPr="0065554C">
          <w:rPr>
            <w:rStyle w:val="Hipervnculo"/>
            <w:rFonts w:ascii="Calibri" w:hAnsi="Calibri"/>
            <w:color w:val="auto"/>
          </w:rPr>
          <w:t>6.7</w:t>
        </w:r>
        <w:r w:rsidR="008641E7" w:rsidRPr="0065554C">
          <w:rPr>
            <w:rFonts w:cstheme="minorBidi"/>
            <w:snapToGrid/>
            <w:w w:val="100"/>
            <w:sz w:val="22"/>
            <w:lang w:bidi="ar-SA"/>
          </w:rPr>
          <w:tab/>
        </w:r>
        <w:r w:rsidR="008641E7" w:rsidRPr="0065554C">
          <w:rPr>
            <w:rStyle w:val="Hipervnculo"/>
            <w:color w:val="auto"/>
          </w:rPr>
          <w:t>Proceso iterativo</w:t>
        </w:r>
        <w:r w:rsidR="008641E7" w:rsidRPr="0065554C">
          <w:rPr>
            <w:webHidden/>
          </w:rPr>
          <w:tab/>
        </w:r>
        <w:r w:rsidR="008641E7" w:rsidRPr="0065554C">
          <w:rPr>
            <w:webHidden/>
          </w:rPr>
          <w:fldChar w:fldCharType="begin"/>
        </w:r>
        <w:r w:rsidR="008641E7" w:rsidRPr="0065554C">
          <w:rPr>
            <w:webHidden/>
          </w:rPr>
          <w:instrText xml:space="preserve"> PAGEREF _Toc509413034 \h </w:instrText>
        </w:r>
        <w:r w:rsidR="008641E7" w:rsidRPr="0065554C">
          <w:rPr>
            <w:webHidden/>
          </w:rPr>
        </w:r>
        <w:r w:rsidR="008641E7" w:rsidRPr="0065554C">
          <w:rPr>
            <w:webHidden/>
          </w:rPr>
          <w:fldChar w:fldCharType="separate"/>
        </w:r>
        <w:r w:rsidR="009F3E59" w:rsidRPr="0065554C">
          <w:rPr>
            <w:webHidden/>
          </w:rPr>
          <w:t>74</w:t>
        </w:r>
        <w:r w:rsidR="008641E7" w:rsidRPr="0065554C">
          <w:rPr>
            <w:webHidden/>
          </w:rPr>
          <w:fldChar w:fldCharType="end"/>
        </w:r>
      </w:hyperlink>
    </w:p>
    <w:p w14:paraId="6E09F36A" w14:textId="77777777" w:rsidR="008641E7" w:rsidRPr="0065554C" w:rsidRDefault="00140072">
      <w:pPr>
        <w:pStyle w:val="TDC2"/>
        <w:rPr>
          <w:rFonts w:cstheme="minorBidi"/>
          <w:snapToGrid/>
          <w:w w:val="100"/>
          <w:sz w:val="22"/>
          <w:lang w:bidi="ar-SA"/>
        </w:rPr>
      </w:pPr>
      <w:hyperlink w:anchor="_Toc509413035" w:history="1">
        <w:r w:rsidR="008641E7" w:rsidRPr="0065554C">
          <w:rPr>
            <w:rStyle w:val="Hipervnculo"/>
            <w:rFonts w:ascii="Calibri" w:hAnsi="Calibri"/>
            <w:color w:val="auto"/>
          </w:rPr>
          <w:t>6.8</w:t>
        </w:r>
        <w:r w:rsidR="008641E7" w:rsidRPr="0065554C">
          <w:rPr>
            <w:rFonts w:cstheme="minorBidi"/>
            <w:snapToGrid/>
            <w:w w:val="100"/>
            <w:sz w:val="22"/>
            <w:lang w:bidi="ar-SA"/>
          </w:rPr>
          <w:tab/>
        </w:r>
        <w:r w:rsidR="008641E7" w:rsidRPr="0065554C">
          <w:rPr>
            <w:rStyle w:val="Hipervnculo"/>
            <w:color w:val="auto"/>
          </w:rPr>
          <w:t>Resultados de la evaluación económica de las Ofertas de Venta</w:t>
        </w:r>
        <w:r w:rsidR="008641E7" w:rsidRPr="0065554C">
          <w:rPr>
            <w:webHidden/>
          </w:rPr>
          <w:tab/>
        </w:r>
        <w:r w:rsidR="008641E7" w:rsidRPr="0065554C">
          <w:rPr>
            <w:webHidden/>
          </w:rPr>
          <w:fldChar w:fldCharType="begin"/>
        </w:r>
        <w:r w:rsidR="008641E7" w:rsidRPr="0065554C">
          <w:rPr>
            <w:webHidden/>
          </w:rPr>
          <w:instrText xml:space="preserve"> PAGEREF _Toc509413035 \h </w:instrText>
        </w:r>
        <w:r w:rsidR="008641E7" w:rsidRPr="0065554C">
          <w:rPr>
            <w:webHidden/>
          </w:rPr>
        </w:r>
        <w:r w:rsidR="008641E7" w:rsidRPr="0065554C">
          <w:rPr>
            <w:webHidden/>
          </w:rPr>
          <w:fldChar w:fldCharType="separate"/>
        </w:r>
        <w:r w:rsidR="009F3E59" w:rsidRPr="0065554C">
          <w:rPr>
            <w:webHidden/>
          </w:rPr>
          <w:t>76</w:t>
        </w:r>
        <w:r w:rsidR="008641E7" w:rsidRPr="0065554C">
          <w:rPr>
            <w:webHidden/>
          </w:rPr>
          <w:fldChar w:fldCharType="end"/>
        </w:r>
      </w:hyperlink>
    </w:p>
    <w:p w14:paraId="0ECC2777" w14:textId="77777777" w:rsidR="008641E7" w:rsidRPr="0065554C" w:rsidRDefault="00140072">
      <w:pPr>
        <w:pStyle w:val="TDC1"/>
        <w:rPr>
          <w:rFonts w:cstheme="minorBidi"/>
          <w:b w:val="0"/>
          <w:sz w:val="22"/>
          <w:szCs w:val="22"/>
          <w:lang w:val="es-MX" w:eastAsia="es-MX" w:bidi="ar-SA"/>
        </w:rPr>
      </w:pPr>
      <w:hyperlink w:anchor="_Toc509413036" w:history="1">
        <w:r w:rsidR="008641E7" w:rsidRPr="0065554C">
          <w:rPr>
            <w:rStyle w:val="Hipervnculo"/>
            <w:color w:val="auto"/>
            <w:lang w:bidi="x-none"/>
            <w14:scene3d>
              <w14:camera w14:prst="orthographicFront"/>
              <w14:lightRig w14:rig="threePt" w14:dir="t">
                <w14:rot w14:lat="0" w14:lon="0" w14:rev="0"/>
              </w14:lightRig>
            </w14:scene3d>
          </w:rPr>
          <w:t>CAPÍTULO 7</w:t>
        </w:r>
        <w:r w:rsidR="008641E7" w:rsidRPr="0065554C">
          <w:rPr>
            <w:rStyle w:val="Hipervnculo"/>
            <w:color w:val="auto"/>
          </w:rPr>
          <w:t xml:space="preserve"> Fallo de la Subasta</w:t>
        </w:r>
        <w:r w:rsidR="008641E7" w:rsidRPr="0065554C">
          <w:rPr>
            <w:webHidden/>
          </w:rPr>
          <w:tab/>
        </w:r>
        <w:r w:rsidR="008641E7" w:rsidRPr="0065554C">
          <w:rPr>
            <w:webHidden/>
          </w:rPr>
          <w:fldChar w:fldCharType="begin"/>
        </w:r>
        <w:r w:rsidR="008641E7" w:rsidRPr="0065554C">
          <w:rPr>
            <w:webHidden/>
          </w:rPr>
          <w:instrText xml:space="preserve"> PAGEREF _Toc509413036 \h </w:instrText>
        </w:r>
        <w:r w:rsidR="008641E7" w:rsidRPr="0065554C">
          <w:rPr>
            <w:webHidden/>
          </w:rPr>
        </w:r>
        <w:r w:rsidR="008641E7" w:rsidRPr="0065554C">
          <w:rPr>
            <w:webHidden/>
          </w:rPr>
          <w:fldChar w:fldCharType="separate"/>
        </w:r>
        <w:r w:rsidR="009F3E59" w:rsidRPr="0065554C">
          <w:rPr>
            <w:webHidden/>
          </w:rPr>
          <w:t>77</w:t>
        </w:r>
        <w:r w:rsidR="008641E7" w:rsidRPr="0065554C">
          <w:rPr>
            <w:webHidden/>
          </w:rPr>
          <w:fldChar w:fldCharType="end"/>
        </w:r>
      </w:hyperlink>
    </w:p>
    <w:p w14:paraId="4912C0BE" w14:textId="77777777" w:rsidR="008641E7" w:rsidRPr="0065554C" w:rsidRDefault="00140072">
      <w:pPr>
        <w:pStyle w:val="TDC2"/>
        <w:rPr>
          <w:rFonts w:cstheme="minorBidi"/>
          <w:snapToGrid/>
          <w:w w:val="100"/>
          <w:sz w:val="22"/>
          <w:lang w:bidi="ar-SA"/>
        </w:rPr>
      </w:pPr>
      <w:hyperlink w:anchor="_Toc509413037" w:history="1">
        <w:r w:rsidR="008641E7" w:rsidRPr="0065554C">
          <w:rPr>
            <w:rStyle w:val="Hipervnculo"/>
            <w:rFonts w:ascii="Calibri" w:hAnsi="Calibri"/>
            <w:color w:val="auto"/>
          </w:rPr>
          <w:t>7.1</w:t>
        </w:r>
        <w:r w:rsidR="008641E7" w:rsidRPr="0065554C">
          <w:rPr>
            <w:rFonts w:cstheme="minorBidi"/>
            <w:snapToGrid/>
            <w:w w:val="100"/>
            <w:sz w:val="22"/>
            <w:lang w:bidi="ar-SA"/>
          </w:rPr>
          <w:tab/>
        </w:r>
        <w:r w:rsidR="008641E7" w:rsidRPr="0065554C">
          <w:rPr>
            <w:rStyle w:val="Hipervnculo"/>
            <w:color w:val="auto"/>
          </w:rPr>
          <w:t>Fallo de la Subasta</w:t>
        </w:r>
        <w:r w:rsidR="008641E7" w:rsidRPr="0065554C">
          <w:rPr>
            <w:webHidden/>
          </w:rPr>
          <w:tab/>
        </w:r>
        <w:r w:rsidR="008641E7" w:rsidRPr="0065554C">
          <w:rPr>
            <w:webHidden/>
          </w:rPr>
          <w:fldChar w:fldCharType="begin"/>
        </w:r>
        <w:r w:rsidR="008641E7" w:rsidRPr="0065554C">
          <w:rPr>
            <w:webHidden/>
          </w:rPr>
          <w:instrText xml:space="preserve"> PAGEREF _Toc509413037 \h </w:instrText>
        </w:r>
        <w:r w:rsidR="008641E7" w:rsidRPr="0065554C">
          <w:rPr>
            <w:webHidden/>
          </w:rPr>
        </w:r>
        <w:r w:rsidR="008641E7" w:rsidRPr="0065554C">
          <w:rPr>
            <w:webHidden/>
          </w:rPr>
          <w:fldChar w:fldCharType="separate"/>
        </w:r>
        <w:r w:rsidR="009F3E59" w:rsidRPr="0065554C">
          <w:rPr>
            <w:webHidden/>
          </w:rPr>
          <w:t>77</w:t>
        </w:r>
        <w:r w:rsidR="008641E7" w:rsidRPr="0065554C">
          <w:rPr>
            <w:webHidden/>
          </w:rPr>
          <w:fldChar w:fldCharType="end"/>
        </w:r>
      </w:hyperlink>
    </w:p>
    <w:p w14:paraId="6F7921EC" w14:textId="77777777" w:rsidR="008641E7" w:rsidRPr="0065554C" w:rsidRDefault="00140072">
      <w:pPr>
        <w:pStyle w:val="TDC1"/>
        <w:rPr>
          <w:rFonts w:cstheme="minorBidi"/>
          <w:b w:val="0"/>
          <w:sz w:val="22"/>
          <w:szCs w:val="22"/>
          <w:lang w:val="es-MX" w:eastAsia="es-MX" w:bidi="ar-SA"/>
        </w:rPr>
      </w:pPr>
      <w:hyperlink w:anchor="_Toc509413038" w:history="1">
        <w:r w:rsidR="008641E7" w:rsidRPr="0065554C">
          <w:rPr>
            <w:rStyle w:val="Hipervnculo"/>
            <w:color w:val="auto"/>
            <w:lang w:bidi="x-none"/>
            <w14:scene3d>
              <w14:camera w14:prst="orthographicFront"/>
              <w14:lightRig w14:rig="threePt" w14:dir="t">
                <w14:rot w14:lat="0" w14:lon="0" w14:rev="0"/>
              </w14:lightRig>
            </w14:scene3d>
          </w:rPr>
          <w:t>CAPÍTULO 8</w:t>
        </w:r>
        <w:r w:rsidR="008641E7" w:rsidRPr="0065554C">
          <w:rPr>
            <w:rStyle w:val="Hipervnculo"/>
            <w:color w:val="auto"/>
          </w:rPr>
          <w:t xml:space="preserve"> Asignación y suscripción de Contratos</w:t>
        </w:r>
        <w:r w:rsidR="008641E7" w:rsidRPr="0065554C">
          <w:rPr>
            <w:webHidden/>
          </w:rPr>
          <w:tab/>
        </w:r>
        <w:r w:rsidR="008641E7" w:rsidRPr="0065554C">
          <w:rPr>
            <w:webHidden/>
          </w:rPr>
          <w:fldChar w:fldCharType="begin"/>
        </w:r>
        <w:r w:rsidR="008641E7" w:rsidRPr="0065554C">
          <w:rPr>
            <w:webHidden/>
          </w:rPr>
          <w:instrText xml:space="preserve"> PAGEREF _Toc509413038 \h </w:instrText>
        </w:r>
        <w:r w:rsidR="008641E7" w:rsidRPr="0065554C">
          <w:rPr>
            <w:webHidden/>
          </w:rPr>
        </w:r>
        <w:r w:rsidR="008641E7" w:rsidRPr="0065554C">
          <w:rPr>
            <w:webHidden/>
          </w:rPr>
          <w:fldChar w:fldCharType="separate"/>
        </w:r>
        <w:r w:rsidR="009F3E59" w:rsidRPr="0065554C">
          <w:rPr>
            <w:webHidden/>
          </w:rPr>
          <w:t>80</w:t>
        </w:r>
        <w:r w:rsidR="008641E7" w:rsidRPr="0065554C">
          <w:rPr>
            <w:webHidden/>
          </w:rPr>
          <w:fldChar w:fldCharType="end"/>
        </w:r>
      </w:hyperlink>
    </w:p>
    <w:p w14:paraId="15173FF7" w14:textId="77777777" w:rsidR="008641E7" w:rsidRPr="0065554C" w:rsidRDefault="00140072">
      <w:pPr>
        <w:pStyle w:val="TDC2"/>
        <w:rPr>
          <w:rFonts w:cstheme="minorBidi"/>
          <w:snapToGrid/>
          <w:w w:val="100"/>
          <w:sz w:val="22"/>
          <w:lang w:bidi="ar-SA"/>
        </w:rPr>
      </w:pPr>
      <w:hyperlink w:anchor="_Toc509413039" w:history="1">
        <w:r w:rsidR="008641E7" w:rsidRPr="0065554C">
          <w:rPr>
            <w:rStyle w:val="Hipervnculo"/>
            <w:rFonts w:ascii="Calibri" w:hAnsi="Calibri"/>
            <w:color w:val="auto"/>
          </w:rPr>
          <w:t>8.1</w:t>
        </w:r>
        <w:r w:rsidR="008641E7" w:rsidRPr="0065554C">
          <w:rPr>
            <w:rFonts w:cstheme="minorBidi"/>
            <w:snapToGrid/>
            <w:w w:val="100"/>
            <w:sz w:val="22"/>
            <w:lang w:bidi="ar-SA"/>
          </w:rPr>
          <w:tab/>
        </w:r>
        <w:r w:rsidR="008641E7" w:rsidRPr="0065554C">
          <w:rPr>
            <w:rStyle w:val="Hipervnculo"/>
            <w:color w:val="auto"/>
          </w:rPr>
          <w:t>Asignación de Contratos</w:t>
        </w:r>
        <w:r w:rsidR="008641E7" w:rsidRPr="0065554C">
          <w:rPr>
            <w:webHidden/>
          </w:rPr>
          <w:tab/>
        </w:r>
        <w:r w:rsidR="008641E7" w:rsidRPr="0065554C">
          <w:rPr>
            <w:webHidden/>
          </w:rPr>
          <w:fldChar w:fldCharType="begin"/>
        </w:r>
        <w:r w:rsidR="008641E7" w:rsidRPr="0065554C">
          <w:rPr>
            <w:webHidden/>
          </w:rPr>
          <w:instrText xml:space="preserve"> PAGEREF _Toc509413039 \h </w:instrText>
        </w:r>
        <w:r w:rsidR="008641E7" w:rsidRPr="0065554C">
          <w:rPr>
            <w:webHidden/>
          </w:rPr>
        </w:r>
        <w:r w:rsidR="008641E7" w:rsidRPr="0065554C">
          <w:rPr>
            <w:webHidden/>
          </w:rPr>
          <w:fldChar w:fldCharType="separate"/>
        </w:r>
        <w:r w:rsidR="009F3E59" w:rsidRPr="0065554C">
          <w:rPr>
            <w:webHidden/>
          </w:rPr>
          <w:t>80</w:t>
        </w:r>
        <w:r w:rsidR="008641E7" w:rsidRPr="0065554C">
          <w:rPr>
            <w:webHidden/>
          </w:rPr>
          <w:fldChar w:fldCharType="end"/>
        </w:r>
      </w:hyperlink>
    </w:p>
    <w:p w14:paraId="37FDA97E" w14:textId="77777777" w:rsidR="008641E7" w:rsidRPr="0065554C" w:rsidRDefault="00140072">
      <w:pPr>
        <w:pStyle w:val="TDC2"/>
        <w:rPr>
          <w:rFonts w:cstheme="minorBidi"/>
          <w:snapToGrid/>
          <w:w w:val="100"/>
          <w:sz w:val="22"/>
          <w:lang w:bidi="ar-SA"/>
        </w:rPr>
      </w:pPr>
      <w:hyperlink w:anchor="_Toc509413040" w:history="1">
        <w:r w:rsidR="008641E7" w:rsidRPr="0065554C">
          <w:rPr>
            <w:rStyle w:val="Hipervnculo"/>
            <w:rFonts w:ascii="Calibri" w:hAnsi="Calibri"/>
            <w:color w:val="auto"/>
          </w:rPr>
          <w:t>8.2</w:t>
        </w:r>
        <w:r w:rsidR="008641E7" w:rsidRPr="0065554C">
          <w:rPr>
            <w:rFonts w:cstheme="minorBidi"/>
            <w:snapToGrid/>
            <w:w w:val="100"/>
            <w:sz w:val="22"/>
            <w:lang w:bidi="ar-SA"/>
          </w:rPr>
          <w:tab/>
        </w:r>
        <w:r w:rsidR="008641E7" w:rsidRPr="0065554C">
          <w:rPr>
            <w:rStyle w:val="Hipervnculo"/>
            <w:color w:val="auto"/>
          </w:rPr>
          <w:t>Elaboración de Contratos</w:t>
        </w:r>
        <w:r w:rsidR="008641E7" w:rsidRPr="0065554C">
          <w:rPr>
            <w:webHidden/>
          </w:rPr>
          <w:tab/>
        </w:r>
        <w:r w:rsidR="008641E7" w:rsidRPr="0065554C">
          <w:rPr>
            <w:webHidden/>
          </w:rPr>
          <w:fldChar w:fldCharType="begin"/>
        </w:r>
        <w:r w:rsidR="008641E7" w:rsidRPr="0065554C">
          <w:rPr>
            <w:webHidden/>
          </w:rPr>
          <w:instrText xml:space="preserve"> PAGEREF _Toc509413040 \h </w:instrText>
        </w:r>
        <w:r w:rsidR="008641E7" w:rsidRPr="0065554C">
          <w:rPr>
            <w:webHidden/>
          </w:rPr>
        </w:r>
        <w:r w:rsidR="008641E7" w:rsidRPr="0065554C">
          <w:rPr>
            <w:webHidden/>
          </w:rPr>
          <w:fldChar w:fldCharType="separate"/>
        </w:r>
        <w:r w:rsidR="009F3E59" w:rsidRPr="0065554C">
          <w:rPr>
            <w:webHidden/>
          </w:rPr>
          <w:t>80</w:t>
        </w:r>
        <w:r w:rsidR="008641E7" w:rsidRPr="0065554C">
          <w:rPr>
            <w:webHidden/>
          </w:rPr>
          <w:fldChar w:fldCharType="end"/>
        </w:r>
      </w:hyperlink>
    </w:p>
    <w:p w14:paraId="195C1A8C" w14:textId="77777777" w:rsidR="008641E7" w:rsidRPr="0065554C" w:rsidRDefault="00140072">
      <w:pPr>
        <w:pStyle w:val="TDC2"/>
        <w:rPr>
          <w:rFonts w:cstheme="minorBidi"/>
          <w:snapToGrid/>
          <w:w w:val="100"/>
          <w:sz w:val="22"/>
          <w:lang w:bidi="ar-SA"/>
        </w:rPr>
      </w:pPr>
      <w:hyperlink w:anchor="_Toc509413041" w:history="1">
        <w:r w:rsidR="008641E7" w:rsidRPr="0065554C">
          <w:rPr>
            <w:rStyle w:val="Hipervnculo"/>
            <w:rFonts w:ascii="Calibri" w:hAnsi="Calibri"/>
            <w:color w:val="auto"/>
          </w:rPr>
          <w:t>8.3</w:t>
        </w:r>
        <w:r w:rsidR="008641E7" w:rsidRPr="0065554C">
          <w:rPr>
            <w:rFonts w:cstheme="minorBidi"/>
            <w:snapToGrid/>
            <w:w w:val="100"/>
            <w:sz w:val="22"/>
            <w:lang w:bidi="ar-SA"/>
          </w:rPr>
          <w:tab/>
        </w:r>
        <w:r w:rsidR="008641E7" w:rsidRPr="0065554C">
          <w:rPr>
            <w:rStyle w:val="Hipervnculo"/>
            <w:color w:val="auto"/>
          </w:rPr>
          <w:t>Garantía de Cumplimiento del Contrato</w:t>
        </w:r>
        <w:r w:rsidR="008641E7" w:rsidRPr="0065554C">
          <w:rPr>
            <w:webHidden/>
          </w:rPr>
          <w:tab/>
        </w:r>
        <w:r w:rsidR="008641E7" w:rsidRPr="0065554C">
          <w:rPr>
            <w:webHidden/>
          </w:rPr>
          <w:fldChar w:fldCharType="begin"/>
        </w:r>
        <w:r w:rsidR="008641E7" w:rsidRPr="0065554C">
          <w:rPr>
            <w:webHidden/>
          </w:rPr>
          <w:instrText xml:space="preserve"> PAGEREF _Toc509413041 \h </w:instrText>
        </w:r>
        <w:r w:rsidR="008641E7" w:rsidRPr="0065554C">
          <w:rPr>
            <w:webHidden/>
          </w:rPr>
        </w:r>
        <w:r w:rsidR="008641E7" w:rsidRPr="0065554C">
          <w:rPr>
            <w:webHidden/>
          </w:rPr>
          <w:fldChar w:fldCharType="separate"/>
        </w:r>
        <w:r w:rsidR="009F3E59" w:rsidRPr="0065554C">
          <w:rPr>
            <w:webHidden/>
          </w:rPr>
          <w:t>80</w:t>
        </w:r>
        <w:r w:rsidR="008641E7" w:rsidRPr="0065554C">
          <w:rPr>
            <w:webHidden/>
          </w:rPr>
          <w:fldChar w:fldCharType="end"/>
        </w:r>
      </w:hyperlink>
    </w:p>
    <w:p w14:paraId="7D73232E" w14:textId="77777777" w:rsidR="008641E7" w:rsidRPr="0065554C" w:rsidRDefault="00140072">
      <w:pPr>
        <w:pStyle w:val="TDC2"/>
        <w:rPr>
          <w:rFonts w:cstheme="minorBidi"/>
          <w:snapToGrid/>
          <w:w w:val="100"/>
          <w:sz w:val="22"/>
          <w:lang w:bidi="ar-SA"/>
        </w:rPr>
      </w:pPr>
      <w:hyperlink w:anchor="_Toc509413042" w:history="1">
        <w:r w:rsidR="008641E7" w:rsidRPr="0065554C">
          <w:rPr>
            <w:rStyle w:val="Hipervnculo"/>
            <w:rFonts w:ascii="Calibri" w:hAnsi="Calibri"/>
            <w:color w:val="auto"/>
          </w:rPr>
          <w:t>8.4</w:t>
        </w:r>
        <w:r w:rsidR="008641E7" w:rsidRPr="0065554C">
          <w:rPr>
            <w:rFonts w:cstheme="minorBidi"/>
            <w:snapToGrid/>
            <w:w w:val="100"/>
            <w:sz w:val="22"/>
            <w:lang w:bidi="ar-SA"/>
          </w:rPr>
          <w:tab/>
        </w:r>
        <w:r w:rsidR="008641E7" w:rsidRPr="0065554C">
          <w:rPr>
            <w:rStyle w:val="Hipervnculo"/>
            <w:color w:val="auto"/>
          </w:rPr>
          <w:t>Cotejo de documentación y suscripción de los Contratos</w:t>
        </w:r>
        <w:r w:rsidR="008641E7" w:rsidRPr="0065554C">
          <w:rPr>
            <w:webHidden/>
          </w:rPr>
          <w:tab/>
        </w:r>
        <w:r w:rsidR="008641E7" w:rsidRPr="0065554C">
          <w:rPr>
            <w:webHidden/>
          </w:rPr>
          <w:fldChar w:fldCharType="begin"/>
        </w:r>
        <w:r w:rsidR="008641E7" w:rsidRPr="0065554C">
          <w:rPr>
            <w:webHidden/>
          </w:rPr>
          <w:instrText xml:space="preserve"> PAGEREF _Toc509413042 \h </w:instrText>
        </w:r>
        <w:r w:rsidR="008641E7" w:rsidRPr="0065554C">
          <w:rPr>
            <w:webHidden/>
          </w:rPr>
        </w:r>
        <w:r w:rsidR="008641E7" w:rsidRPr="0065554C">
          <w:rPr>
            <w:webHidden/>
          </w:rPr>
          <w:fldChar w:fldCharType="separate"/>
        </w:r>
        <w:r w:rsidR="009F3E59" w:rsidRPr="0065554C">
          <w:rPr>
            <w:webHidden/>
          </w:rPr>
          <w:t>82</w:t>
        </w:r>
        <w:r w:rsidR="008641E7" w:rsidRPr="0065554C">
          <w:rPr>
            <w:webHidden/>
          </w:rPr>
          <w:fldChar w:fldCharType="end"/>
        </w:r>
      </w:hyperlink>
    </w:p>
    <w:p w14:paraId="45199000" w14:textId="77777777" w:rsidR="008641E7" w:rsidRPr="0065554C" w:rsidRDefault="00140072">
      <w:pPr>
        <w:pStyle w:val="TDC2"/>
        <w:rPr>
          <w:rFonts w:cstheme="minorBidi"/>
          <w:snapToGrid/>
          <w:w w:val="100"/>
          <w:sz w:val="22"/>
          <w:lang w:bidi="ar-SA"/>
        </w:rPr>
      </w:pPr>
      <w:hyperlink w:anchor="_Toc509413043" w:history="1">
        <w:r w:rsidR="008641E7" w:rsidRPr="0065554C">
          <w:rPr>
            <w:rStyle w:val="Hipervnculo"/>
            <w:rFonts w:ascii="Calibri" w:hAnsi="Calibri"/>
            <w:color w:val="auto"/>
          </w:rPr>
          <w:t>8.5</w:t>
        </w:r>
        <w:r w:rsidR="008641E7" w:rsidRPr="0065554C">
          <w:rPr>
            <w:rFonts w:cstheme="minorBidi"/>
            <w:snapToGrid/>
            <w:w w:val="100"/>
            <w:sz w:val="22"/>
            <w:lang w:bidi="ar-SA"/>
          </w:rPr>
          <w:tab/>
        </w:r>
        <w:r w:rsidR="008641E7" w:rsidRPr="0065554C">
          <w:rPr>
            <w:rStyle w:val="Hipervnculo"/>
            <w:color w:val="auto"/>
          </w:rPr>
          <w:t>Proceso de Interconexión</w:t>
        </w:r>
        <w:r w:rsidR="008641E7" w:rsidRPr="0065554C">
          <w:rPr>
            <w:webHidden/>
          </w:rPr>
          <w:tab/>
        </w:r>
        <w:r w:rsidR="008641E7" w:rsidRPr="0065554C">
          <w:rPr>
            <w:webHidden/>
          </w:rPr>
          <w:fldChar w:fldCharType="begin"/>
        </w:r>
        <w:r w:rsidR="008641E7" w:rsidRPr="0065554C">
          <w:rPr>
            <w:webHidden/>
          </w:rPr>
          <w:instrText xml:space="preserve"> PAGEREF _Toc509413043 \h </w:instrText>
        </w:r>
        <w:r w:rsidR="008641E7" w:rsidRPr="0065554C">
          <w:rPr>
            <w:webHidden/>
          </w:rPr>
        </w:r>
        <w:r w:rsidR="008641E7" w:rsidRPr="0065554C">
          <w:rPr>
            <w:webHidden/>
          </w:rPr>
          <w:fldChar w:fldCharType="separate"/>
        </w:r>
        <w:r w:rsidR="009F3E59" w:rsidRPr="0065554C">
          <w:rPr>
            <w:webHidden/>
          </w:rPr>
          <w:t>83</w:t>
        </w:r>
        <w:r w:rsidR="008641E7" w:rsidRPr="0065554C">
          <w:rPr>
            <w:webHidden/>
          </w:rPr>
          <w:fldChar w:fldCharType="end"/>
        </w:r>
      </w:hyperlink>
    </w:p>
    <w:p w14:paraId="00B6263F" w14:textId="77777777" w:rsidR="008641E7" w:rsidRPr="0065554C" w:rsidRDefault="00140072">
      <w:pPr>
        <w:pStyle w:val="TDC1"/>
        <w:rPr>
          <w:rFonts w:cstheme="minorBidi"/>
          <w:b w:val="0"/>
          <w:sz w:val="22"/>
          <w:szCs w:val="22"/>
          <w:lang w:val="es-MX" w:eastAsia="es-MX" w:bidi="ar-SA"/>
        </w:rPr>
      </w:pPr>
      <w:hyperlink w:anchor="_Toc509413044" w:history="1">
        <w:r w:rsidR="008641E7" w:rsidRPr="0065554C">
          <w:rPr>
            <w:rStyle w:val="Hipervnculo"/>
            <w:color w:val="auto"/>
            <w:lang w:bidi="x-none"/>
            <w14:scene3d>
              <w14:camera w14:prst="orthographicFront"/>
              <w14:lightRig w14:rig="threePt" w14:dir="t">
                <w14:rot w14:lat="0" w14:lon="0" w14:rev="0"/>
              </w14:lightRig>
            </w14:scene3d>
          </w:rPr>
          <w:t>CAPÍTULO 9</w:t>
        </w:r>
        <w:r w:rsidR="008641E7" w:rsidRPr="0065554C">
          <w:rPr>
            <w:rStyle w:val="Hipervnculo"/>
            <w:color w:val="auto"/>
          </w:rPr>
          <w:t xml:space="preserve"> Desechamiento de ofertas</w:t>
        </w:r>
        <w:r w:rsidR="008641E7" w:rsidRPr="0065554C">
          <w:rPr>
            <w:webHidden/>
          </w:rPr>
          <w:tab/>
        </w:r>
        <w:r w:rsidR="008641E7" w:rsidRPr="0065554C">
          <w:rPr>
            <w:webHidden/>
          </w:rPr>
          <w:fldChar w:fldCharType="begin"/>
        </w:r>
        <w:r w:rsidR="008641E7" w:rsidRPr="0065554C">
          <w:rPr>
            <w:webHidden/>
          </w:rPr>
          <w:instrText xml:space="preserve"> PAGEREF _Toc509413044 \h </w:instrText>
        </w:r>
        <w:r w:rsidR="008641E7" w:rsidRPr="0065554C">
          <w:rPr>
            <w:webHidden/>
          </w:rPr>
        </w:r>
        <w:r w:rsidR="008641E7" w:rsidRPr="0065554C">
          <w:rPr>
            <w:webHidden/>
          </w:rPr>
          <w:fldChar w:fldCharType="separate"/>
        </w:r>
        <w:r w:rsidR="009F3E59" w:rsidRPr="0065554C">
          <w:rPr>
            <w:webHidden/>
          </w:rPr>
          <w:t>84</w:t>
        </w:r>
        <w:r w:rsidR="008641E7" w:rsidRPr="0065554C">
          <w:rPr>
            <w:webHidden/>
          </w:rPr>
          <w:fldChar w:fldCharType="end"/>
        </w:r>
      </w:hyperlink>
    </w:p>
    <w:p w14:paraId="66E5F4FC" w14:textId="77777777" w:rsidR="008641E7" w:rsidRPr="0065554C" w:rsidRDefault="00140072">
      <w:pPr>
        <w:pStyle w:val="TDC2"/>
        <w:rPr>
          <w:rFonts w:cstheme="minorBidi"/>
          <w:snapToGrid/>
          <w:w w:val="100"/>
          <w:sz w:val="22"/>
          <w:lang w:bidi="ar-SA"/>
        </w:rPr>
      </w:pPr>
      <w:hyperlink w:anchor="_Toc509413045" w:history="1">
        <w:r w:rsidR="008641E7" w:rsidRPr="0065554C">
          <w:rPr>
            <w:rStyle w:val="Hipervnculo"/>
            <w:rFonts w:ascii="Calibri" w:hAnsi="Calibri"/>
            <w:color w:val="auto"/>
          </w:rPr>
          <w:t>9.1</w:t>
        </w:r>
        <w:r w:rsidR="008641E7" w:rsidRPr="0065554C">
          <w:rPr>
            <w:rFonts w:cstheme="minorBidi"/>
            <w:snapToGrid/>
            <w:w w:val="100"/>
            <w:sz w:val="22"/>
            <w:lang w:bidi="ar-SA"/>
          </w:rPr>
          <w:tab/>
        </w:r>
        <w:r w:rsidR="008641E7" w:rsidRPr="0065554C">
          <w:rPr>
            <w:rStyle w:val="Hipervnculo"/>
            <w:color w:val="auto"/>
          </w:rPr>
          <w:t>Causales de desechamiento de ofertas</w:t>
        </w:r>
        <w:r w:rsidR="008641E7" w:rsidRPr="0065554C">
          <w:rPr>
            <w:webHidden/>
          </w:rPr>
          <w:tab/>
        </w:r>
        <w:r w:rsidR="008641E7" w:rsidRPr="0065554C">
          <w:rPr>
            <w:webHidden/>
          </w:rPr>
          <w:fldChar w:fldCharType="begin"/>
        </w:r>
        <w:r w:rsidR="008641E7" w:rsidRPr="0065554C">
          <w:rPr>
            <w:webHidden/>
          </w:rPr>
          <w:instrText xml:space="preserve"> PAGEREF _Toc509413045 \h </w:instrText>
        </w:r>
        <w:r w:rsidR="008641E7" w:rsidRPr="0065554C">
          <w:rPr>
            <w:webHidden/>
          </w:rPr>
        </w:r>
        <w:r w:rsidR="008641E7" w:rsidRPr="0065554C">
          <w:rPr>
            <w:webHidden/>
          </w:rPr>
          <w:fldChar w:fldCharType="separate"/>
        </w:r>
        <w:r w:rsidR="009F3E59" w:rsidRPr="0065554C">
          <w:rPr>
            <w:webHidden/>
          </w:rPr>
          <w:t>84</w:t>
        </w:r>
        <w:r w:rsidR="008641E7" w:rsidRPr="0065554C">
          <w:rPr>
            <w:webHidden/>
          </w:rPr>
          <w:fldChar w:fldCharType="end"/>
        </w:r>
      </w:hyperlink>
    </w:p>
    <w:p w14:paraId="1EF446EF" w14:textId="77777777" w:rsidR="008641E7" w:rsidRPr="0065554C" w:rsidRDefault="00140072">
      <w:pPr>
        <w:pStyle w:val="TDC2"/>
        <w:rPr>
          <w:rFonts w:cstheme="minorBidi"/>
          <w:snapToGrid/>
          <w:w w:val="100"/>
          <w:sz w:val="22"/>
          <w:lang w:bidi="ar-SA"/>
        </w:rPr>
      </w:pPr>
      <w:hyperlink w:anchor="_Toc509413046" w:history="1">
        <w:r w:rsidR="008641E7" w:rsidRPr="0065554C">
          <w:rPr>
            <w:rStyle w:val="Hipervnculo"/>
            <w:rFonts w:ascii="Calibri" w:hAnsi="Calibri"/>
            <w:color w:val="auto"/>
          </w:rPr>
          <w:t>9.2</w:t>
        </w:r>
        <w:r w:rsidR="008641E7" w:rsidRPr="0065554C">
          <w:rPr>
            <w:rFonts w:cstheme="minorBidi"/>
            <w:snapToGrid/>
            <w:w w:val="100"/>
            <w:sz w:val="22"/>
            <w:lang w:bidi="ar-SA"/>
          </w:rPr>
          <w:tab/>
        </w:r>
        <w:r w:rsidR="008641E7" w:rsidRPr="0065554C">
          <w:rPr>
            <w:rStyle w:val="Hipervnculo"/>
            <w:color w:val="auto"/>
          </w:rPr>
          <w:t>Procedimiento para el desechamiento de ofertas</w:t>
        </w:r>
        <w:r w:rsidR="008641E7" w:rsidRPr="0065554C">
          <w:rPr>
            <w:webHidden/>
          </w:rPr>
          <w:tab/>
        </w:r>
        <w:r w:rsidR="008641E7" w:rsidRPr="0065554C">
          <w:rPr>
            <w:webHidden/>
          </w:rPr>
          <w:fldChar w:fldCharType="begin"/>
        </w:r>
        <w:r w:rsidR="008641E7" w:rsidRPr="0065554C">
          <w:rPr>
            <w:webHidden/>
          </w:rPr>
          <w:instrText xml:space="preserve"> PAGEREF _Toc509413046 \h </w:instrText>
        </w:r>
        <w:r w:rsidR="008641E7" w:rsidRPr="0065554C">
          <w:rPr>
            <w:webHidden/>
          </w:rPr>
        </w:r>
        <w:r w:rsidR="008641E7" w:rsidRPr="0065554C">
          <w:rPr>
            <w:webHidden/>
          </w:rPr>
          <w:fldChar w:fldCharType="separate"/>
        </w:r>
        <w:r w:rsidR="009F3E59" w:rsidRPr="0065554C">
          <w:rPr>
            <w:webHidden/>
          </w:rPr>
          <w:t>85</w:t>
        </w:r>
        <w:r w:rsidR="008641E7" w:rsidRPr="0065554C">
          <w:rPr>
            <w:webHidden/>
          </w:rPr>
          <w:fldChar w:fldCharType="end"/>
        </w:r>
      </w:hyperlink>
    </w:p>
    <w:p w14:paraId="1C520688" w14:textId="77777777" w:rsidR="008641E7" w:rsidRPr="0065554C" w:rsidRDefault="00140072">
      <w:pPr>
        <w:pStyle w:val="TDC1"/>
        <w:rPr>
          <w:rFonts w:cstheme="minorBidi"/>
          <w:b w:val="0"/>
          <w:sz w:val="22"/>
          <w:szCs w:val="22"/>
          <w:lang w:val="es-MX" w:eastAsia="es-MX" w:bidi="ar-SA"/>
        </w:rPr>
      </w:pPr>
      <w:hyperlink w:anchor="_Toc509413047" w:history="1">
        <w:r w:rsidR="008641E7" w:rsidRPr="0065554C">
          <w:rPr>
            <w:rStyle w:val="Hipervnculo"/>
            <w:color w:val="auto"/>
            <w:lang w:bidi="x-none"/>
            <w14:scene3d>
              <w14:camera w14:prst="orthographicFront"/>
              <w14:lightRig w14:rig="threePt" w14:dir="t">
                <w14:rot w14:lat="0" w14:lon="0" w14:rev="0"/>
              </w14:lightRig>
            </w14:scene3d>
          </w:rPr>
          <w:t>CAPÍTULO 10</w:t>
        </w:r>
        <w:r w:rsidR="008641E7" w:rsidRPr="0065554C">
          <w:rPr>
            <w:rStyle w:val="Hipervnculo"/>
            <w:color w:val="auto"/>
          </w:rPr>
          <w:t xml:space="preserve"> Solución de controversias</w:t>
        </w:r>
        <w:r w:rsidR="008641E7" w:rsidRPr="0065554C">
          <w:rPr>
            <w:webHidden/>
          </w:rPr>
          <w:tab/>
        </w:r>
        <w:r w:rsidR="008641E7" w:rsidRPr="0065554C">
          <w:rPr>
            <w:webHidden/>
          </w:rPr>
          <w:fldChar w:fldCharType="begin"/>
        </w:r>
        <w:r w:rsidR="008641E7" w:rsidRPr="0065554C">
          <w:rPr>
            <w:webHidden/>
          </w:rPr>
          <w:instrText xml:space="preserve"> PAGEREF _Toc509413047 \h </w:instrText>
        </w:r>
        <w:r w:rsidR="008641E7" w:rsidRPr="0065554C">
          <w:rPr>
            <w:webHidden/>
          </w:rPr>
        </w:r>
        <w:r w:rsidR="008641E7" w:rsidRPr="0065554C">
          <w:rPr>
            <w:webHidden/>
          </w:rPr>
          <w:fldChar w:fldCharType="separate"/>
        </w:r>
        <w:r w:rsidR="009F3E59" w:rsidRPr="0065554C">
          <w:rPr>
            <w:webHidden/>
          </w:rPr>
          <w:t>86</w:t>
        </w:r>
        <w:r w:rsidR="008641E7" w:rsidRPr="0065554C">
          <w:rPr>
            <w:webHidden/>
          </w:rPr>
          <w:fldChar w:fldCharType="end"/>
        </w:r>
      </w:hyperlink>
    </w:p>
    <w:p w14:paraId="11D162BB" w14:textId="77777777" w:rsidR="008641E7" w:rsidRPr="0065554C" w:rsidRDefault="00140072">
      <w:pPr>
        <w:pStyle w:val="TDC2"/>
        <w:rPr>
          <w:rFonts w:cstheme="minorBidi"/>
          <w:snapToGrid/>
          <w:w w:val="100"/>
          <w:sz w:val="22"/>
          <w:lang w:bidi="ar-SA"/>
        </w:rPr>
      </w:pPr>
      <w:hyperlink w:anchor="_Toc509413048" w:history="1">
        <w:r w:rsidR="008641E7" w:rsidRPr="0065554C">
          <w:rPr>
            <w:rStyle w:val="Hipervnculo"/>
            <w:rFonts w:ascii="Calibri" w:hAnsi="Calibri"/>
            <w:color w:val="auto"/>
          </w:rPr>
          <w:t>10.1</w:t>
        </w:r>
        <w:r w:rsidR="008641E7" w:rsidRPr="0065554C">
          <w:rPr>
            <w:rFonts w:cstheme="minorBidi"/>
            <w:snapToGrid/>
            <w:w w:val="100"/>
            <w:sz w:val="22"/>
            <w:lang w:bidi="ar-SA"/>
          </w:rPr>
          <w:tab/>
        </w:r>
        <w:r w:rsidR="008641E7" w:rsidRPr="0065554C">
          <w:rPr>
            <w:rStyle w:val="Hipervnculo"/>
            <w:color w:val="auto"/>
          </w:rPr>
          <w:t>Disposiciones generales</w:t>
        </w:r>
        <w:r w:rsidR="008641E7" w:rsidRPr="0065554C">
          <w:rPr>
            <w:webHidden/>
          </w:rPr>
          <w:tab/>
        </w:r>
        <w:r w:rsidR="008641E7" w:rsidRPr="0065554C">
          <w:rPr>
            <w:webHidden/>
          </w:rPr>
          <w:fldChar w:fldCharType="begin"/>
        </w:r>
        <w:r w:rsidR="008641E7" w:rsidRPr="0065554C">
          <w:rPr>
            <w:webHidden/>
          </w:rPr>
          <w:instrText xml:space="preserve"> PAGEREF _Toc509413048 \h </w:instrText>
        </w:r>
        <w:r w:rsidR="008641E7" w:rsidRPr="0065554C">
          <w:rPr>
            <w:webHidden/>
          </w:rPr>
        </w:r>
        <w:r w:rsidR="008641E7" w:rsidRPr="0065554C">
          <w:rPr>
            <w:webHidden/>
          </w:rPr>
          <w:fldChar w:fldCharType="separate"/>
        </w:r>
        <w:r w:rsidR="009F3E59" w:rsidRPr="0065554C">
          <w:rPr>
            <w:webHidden/>
          </w:rPr>
          <w:t>86</w:t>
        </w:r>
        <w:r w:rsidR="008641E7" w:rsidRPr="0065554C">
          <w:rPr>
            <w:webHidden/>
          </w:rPr>
          <w:fldChar w:fldCharType="end"/>
        </w:r>
      </w:hyperlink>
    </w:p>
    <w:p w14:paraId="28C552D0" w14:textId="77777777" w:rsidR="008641E7" w:rsidRPr="0065554C" w:rsidRDefault="00140072">
      <w:pPr>
        <w:pStyle w:val="TDC2"/>
        <w:rPr>
          <w:rFonts w:cstheme="minorBidi"/>
          <w:snapToGrid/>
          <w:w w:val="100"/>
          <w:sz w:val="22"/>
          <w:lang w:bidi="ar-SA"/>
        </w:rPr>
      </w:pPr>
      <w:hyperlink w:anchor="_Toc509413049" w:history="1">
        <w:r w:rsidR="008641E7" w:rsidRPr="0065554C">
          <w:rPr>
            <w:rStyle w:val="Hipervnculo"/>
            <w:rFonts w:ascii="Calibri" w:hAnsi="Calibri"/>
            <w:color w:val="auto"/>
          </w:rPr>
          <w:t>10.2</w:t>
        </w:r>
        <w:r w:rsidR="008641E7" w:rsidRPr="0065554C">
          <w:rPr>
            <w:rFonts w:cstheme="minorBidi"/>
            <w:snapToGrid/>
            <w:w w:val="100"/>
            <w:sz w:val="22"/>
            <w:lang w:bidi="ar-SA"/>
          </w:rPr>
          <w:tab/>
        </w:r>
        <w:r w:rsidR="008641E7" w:rsidRPr="0065554C">
          <w:rPr>
            <w:rStyle w:val="Hipervnculo"/>
            <w:color w:val="auto"/>
          </w:rPr>
          <w:t>De la reconsideración</w:t>
        </w:r>
        <w:r w:rsidR="008641E7" w:rsidRPr="0065554C">
          <w:rPr>
            <w:webHidden/>
          </w:rPr>
          <w:tab/>
        </w:r>
        <w:r w:rsidR="008641E7" w:rsidRPr="0065554C">
          <w:rPr>
            <w:webHidden/>
          </w:rPr>
          <w:fldChar w:fldCharType="begin"/>
        </w:r>
        <w:r w:rsidR="008641E7" w:rsidRPr="0065554C">
          <w:rPr>
            <w:webHidden/>
          </w:rPr>
          <w:instrText xml:space="preserve"> PAGEREF _Toc509413049 \h </w:instrText>
        </w:r>
        <w:r w:rsidR="008641E7" w:rsidRPr="0065554C">
          <w:rPr>
            <w:webHidden/>
          </w:rPr>
        </w:r>
        <w:r w:rsidR="008641E7" w:rsidRPr="0065554C">
          <w:rPr>
            <w:webHidden/>
          </w:rPr>
          <w:fldChar w:fldCharType="separate"/>
        </w:r>
        <w:r w:rsidR="009F3E59" w:rsidRPr="0065554C">
          <w:rPr>
            <w:webHidden/>
          </w:rPr>
          <w:t>86</w:t>
        </w:r>
        <w:r w:rsidR="008641E7" w:rsidRPr="0065554C">
          <w:rPr>
            <w:webHidden/>
          </w:rPr>
          <w:fldChar w:fldCharType="end"/>
        </w:r>
      </w:hyperlink>
    </w:p>
    <w:p w14:paraId="3506B5DA" w14:textId="77777777" w:rsidR="00160338" w:rsidRPr="0065554C" w:rsidRDefault="00696AD2" w:rsidP="000D70DD">
      <w:pPr>
        <w:pStyle w:val="TDC1"/>
      </w:pPr>
      <w:r w:rsidRPr="0065554C">
        <w:rPr>
          <w:b w:val="0"/>
        </w:rPr>
        <w:fldChar w:fldCharType="end"/>
      </w:r>
      <w:r w:rsidR="00160338" w:rsidRPr="0065554C">
        <w:br w:type="page"/>
      </w:r>
    </w:p>
    <w:p w14:paraId="5D7B4030" w14:textId="77777777" w:rsidR="00160338" w:rsidRPr="0065554C" w:rsidRDefault="00160338" w:rsidP="00160338">
      <w:pPr>
        <w:pStyle w:val="TDC1"/>
      </w:pPr>
      <w:r w:rsidRPr="0065554C">
        <w:lastRenderedPageBreak/>
        <w:t>ANEXOS</w:t>
      </w:r>
    </w:p>
    <w:p w14:paraId="5C5A6307" w14:textId="77777777" w:rsidR="00160338" w:rsidRPr="0065554C" w:rsidRDefault="00160338" w:rsidP="00160338">
      <w:pPr>
        <w:pStyle w:val="Anexoencontenido"/>
        <w:tabs>
          <w:tab w:val="clear" w:pos="851"/>
          <w:tab w:val="clear" w:pos="1985"/>
          <w:tab w:val="left" w:pos="709"/>
        </w:tabs>
        <w:spacing w:before="120"/>
        <w:ind w:left="709" w:hanging="709"/>
      </w:pPr>
      <w:r w:rsidRPr="0065554C">
        <w:t xml:space="preserve">I.1 </w:t>
      </w:r>
      <w:r w:rsidRPr="0065554C">
        <w:tab/>
        <w:t xml:space="preserve">Calendario de la Subasta </w:t>
      </w:r>
    </w:p>
    <w:p w14:paraId="1295EB79" w14:textId="77777777" w:rsidR="00160338" w:rsidRPr="0065554C" w:rsidRDefault="00160338" w:rsidP="00160338">
      <w:pPr>
        <w:pStyle w:val="Contenidodeanexo"/>
      </w:pPr>
      <w:r w:rsidRPr="0065554C">
        <w:tab/>
        <w:t>Referido en los numerales 1.1.</w:t>
      </w:r>
      <w:r w:rsidR="003C284C" w:rsidRPr="0065554C">
        <w:t>10</w:t>
      </w:r>
      <w:r w:rsidR="00101C9B" w:rsidRPr="0065554C">
        <w:t>,</w:t>
      </w:r>
      <w:r w:rsidRPr="0065554C">
        <w:t xml:space="preserve"> 3.1.1</w:t>
      </w:r>
      <w:r w:rsidR="00101C9B" w:rsidRPr="0065554C">
        <w:t xml:space="preserve">, </w:t>
      </w:r>
      <w:r w:rsidR="009327F9" w:rsidRPr="0065554C">
        <w:t xml:space="preserve">3.2.4, </w:t>
      </w:r>
      <w:r w:rsidR="00101C9B" w:rsidRPr="0065554C">
        <w:t>3.9.1 (f) y 3.9.3</w:t>
      </w:r>
    </w:p>
    <w:p w14:paraId="1C7731F6" w14:textId="77777777" w:rsidR="00160338" w:rsidRPr="0065554C" w:rsidRDefault="00160338" w:rsidP="00160338">
      <w:pPr>
        <w:pStyle w:val="Anexoencontenido"/>
        <w:tabs>
          <w:tab w:val="clear" w:pos="851"/>
          <w:tab w:val="clear" w:pos="1985"/>
          <w:tab w:val="left" w:pos="709"/>
        </w:tabs>
        <w:spacing w:before="120"/>
        <w:ind w:left="709" w:hanging="709"/>
      </w:pPr>
      <w:r w:rsidRPr="0065554C">
        <w:t xml:space="preserve">I.2 </w:t>
      </w:r>
      <w:r w:rsidRPr="0065554C">
        <w:tab/>
        <w:t>Glosario de términos definidos</w:t>
      </w:r>
    </w:p>
    <w:p w14:paraId="23C47C44" w14:textId="77777777" w:rsidR="00160338" w:rsidRPr="0065554C" w:rsidRDefault="00160338" w:rsidP="00160338">
      <w:pPr>
        <w:pStyle w:val="Contenidodeanexo"/>
      </w:pPr>
      <w:r w:rsidRPr="0065554C">
        <w:tab/>
        <w:t>Referido en el último párrafo del numeral 1.2</w:t>
      </w:r>
      <w:r w:rsidR="00EA020B" w:rsidRPr="0065554C">
        <w:t xml:space="preserve"> y 1.3.2</w:t>
      </w:r>
      <w:r w:rsidRPr="0065554C">
        <w:t>.</w:t>
      </w:r>
    </w:p>
    <w:p w14:paraId="43E004A2" w14:textId="77777777" w:rsidR="00160338" w:rsidRPr="0065554C" w:rsidRDefault="00160338" w:rsidP="00160338">
      <w:pPr>
        <w:pStyle w:val="Anexoencontenido"/>
        <w:tabs>
          <w:tab w:val="clear" w:pos="851"/>
          <w:tab w:val="clear" w:pos="1985"/>
          <w:tab w:val="left" w:pos="709"/>
        </w:tabs>
        <w:spacing w:before="120"/>
        <w:ind w:left="709" w:hanging="709"/>
      </w:pPr>
      <w:r w:rsidRPr="0065554C">
        <w:t xml:space="preserve">II.1 </w:t>
      </w:r>
      <w:r w:rsidRPr="0065554C">
        <w:tab/>
        <w:t>Zonas de Exportación</w:t>
      </w:r>
    </w:p>
    <w:p w14:paraId="041EA315" w14:textId="77777777" w:rsidR="00160338" w:rsidRPr="0065554C" w:rsidRDefault="00160338" w:rsidP="00160338">
      <w:pPr>
        <w:pStyle w:val="Contenidodeanexo"/>
      </w:pPr>
      <w:r w:rsidRPr="0065554C">
        <w:tab/>
        <w:t xml:space="preserve">Referido en </w:t>
      </w:r>
      <w:r w:rsidR="00B855ED" w:rsidRPr="0065554C">
        <w:t>los</w:t>
      </w:r>
      <w:r w:rsidRPr="0065554C">
        <w:t xml:space="preserve"> numeral</w:t>
      </w:r>
      <w:r w:rsidR="00B855ED" w:rsidRPr="0065554C">
        <w:t>es</w:t>
      </w:r>
      <w:r w:rsidRPr="0065554C">
        <w:t xml:space="preserve"> 2.3.2(a)</w:t>
      </w:r>
      <w:r w:rsidR="00EA020B" w:rsidRPr="0065554C">
        <w:t>(i), (ii), (iii), (iv) y (vii)</w:t>
      </w:r>
      <w:r w:rsidR="00B855ED" w:rsidRPr="0065554C">
        <w:t xml:space="preserve"> y 5.8.3 (b)</w:t>
      </w:r>
      <w:r w:rsidRPr="0065554C">
        <w:t>.</w:t>
      </w:r>
    </w:p>
    <w:p w14:paraId="26630325" w14:textId="77777777" w:rsidR="00160338" w:rsidRPr="0065554C" w:rsidRDefault="00160338" w:rsidP="00160338">
      <w:pPr>
        <w:pStyle w:val="Anexoencontenido"/>
        <w:tabs>
          <w:tab w:val="clear" w:pos="851"/>
          <w:tab w:val="clear" w:pos="1985"/>
          <w:tab w:val="left" w:pos="709"/>
        </w:tabs>
        <w:spacing w:before="120"/>
        <w:ind w:left="709" w:hanging="709"/>
      </w:pPr>
      <w:r w:rsidRPr="0065554C">
        <w:t xml:space="preserve">II.2 </w:t>
      </w:r>
      <w:r w:rsidRPr="0065554C">
        <w:tab/>
        <w:t>Zonas de Precios</w:t>
      </w:r>
    </w:p>
    <w:p w14:paraId="3F7C63DB" w14:textId="77777777" w:rsidR="00160338" w:rsidRPr="0065554C" w:rsidRDefault="00160338" w:rsidP="00160338">
      <w:pPr>
        <w:pStyle w:val="Contenidodeanexo"/>
      </w:pPr>
      <w:r w:rsidRPr="0065554C">
        <w:tab/>
        <w:t>Referido en el numeral 2.3.2(b).</w:t>
      </w:r>
    </w:p>
    <w:p w14:paraId="220F91FE" w14:textId="77777777" w:rsidR="00160338" w:rsidRPr="0065554C" w:rsidRDefault="00160338" w:rsidP="00160338">
      <w:pPr>
        <w:pStyle w:val="Anexoencontenido"/>
        <w:tabs>
          <w:tab w:val="clear" w:pos="851"/>
          <w:tab w:val="clear" w:pos="1985"/>
          <w:tab w:val="left" w:pos="709"/>
        </w:tabs>
        <w:spacing w:before="120"/>
        <w:ind w:left="709" w:hanging="709"/>
      </w:pPr>
      <w:r w:rsidRPr="0065554C">
        <w:t xml:space="preserve">II.4 </w:t>
      </w:r>
      <w:r w:rsidRPr="0065554C">
        <w:tab/>
        <w:t>Subestaciones</w:t>
      </w:r>
    </w:p>
    <w:p w14:paraId="4A60710C" w14:textId="77777777" w:rsidR="00160338" w:rsidRPr="0065554C" w:rsidRDefault="00160338" w:rsidP="00160338">
      <w:pPr>
        <w:pStyle w:val="Contenidodeanexo"/>
      </w:pPr>
      <w:r w:rsidRPr="0065554C">
        <w:tab/>
        <w:t xml:space="preserve">Referido en el numeral 2.3.2 (c)(i), (ii), (iii), (iv), </w:t>
      </w:r>
      <w:r w:rsidR="00EA020B" w:rsidRPr="0065554C">
        <w:t>(d), (e)</w:t>
      </w:r>
      <w:r w:rsidR="00B855ED" w:rsidRPr="0065554C">
        <w:t>(iii),</w:t>
      </w:r>
      <w:r w:rsidR="00EA020B" w:rsidRPr="0065554C">
        <w:t xml:space="preserve">(iv), </w:t>
      </w:r>
      <w:r w:rsidRPr="0065554C">
        <w:t>2.3.3(a)</w:t>
      </w:r>
      <w:r w:rsidR="00EA020B" w:rsidRPr="0065554C">
        <w:t>, (b), 5.8.3</w:t>
      </w:r>
      <w:r w:rsidR="00B855ED" w:rsidRPr="0065554C">
        <w:t>(a)(i)</w:t>
      </w:r>
      <w:r w:rsidR="00EA020B" w:rsidRPr="0065554C">
        <w:t>,</w:t>
      </w:r>
      <w:r w:rsidR="00B855ED" w:rsidRPr="0065554C">
        <w:t xml:space="preserve"> (b)</w:t>
      </w:r>
      <w:r w:rsidR="002E2DED" w:rsidRPr="0065554C">
        <w:t>,</w:t>
      </w:r>
      <w:r w:rsidR="00EA020B" w:rsidRPr="0065554C">
        <w:t xml:space="preserve"> 5.8.4 y 5.8.5</w:t>
      </w:r>
      <w:r w:rsidRPr="0065554C">
        <w:t>.</w:t>
      </w:r>
    </w:p>
    <w:p w14:paraId="70DDC6E7" w14:textId="77777777" w:rsidR="00160338" w:rsidRPr="0065554C" w:rsidRDefault="00160338" w:rsidP="00160338">
      <w:pPr>
        <w:pStyle w:val="Anexoencontenido"/>
        <w:tabs>
          <w:tab w:val="clear" w:pos="851"/>
          <w:tab w:val="clear" w:pos="1985"/>
          <w:tab w:val="left" w:pos="709"/>
        </w:tabs>
        <w:spacing w:before="120"/>
        <w:ind w:left="709" w:hanging="709"/>
      </w:pPr>
      <w:r w:rsidRPr="0065554C">
        <w:t xml:space="preserve">II.5 </w:t>
      </w:r>
      <w:r w:rsidRPr="0065554C">
        <w:tab/>
        <w:t xml:space="preserve">Fronteras en Líneas de Transmisión </w:t>
      </w:r>
    </w:p>
    <w:p w14:paraId="07247B31" w14:textId="77777777" w:rsidR="00160338" w:rsidRPr="0065554C" w:rsidRDefault="00160338" w:rsidP="00160338">
      <w:pPr>
        <w:pStyle w:val="Contenidodeanexo"/>
      </w:pPr>
      <w:r w:rsidRPr="0065554C">
        <w:tab/>
        <w:t>Referido en el Anexo II.</w:t>
      </w:r>
      <w:r w:rsidR="00095306" w:rsidRPr="0065554C">
        <w:t>6</w:t>
      </w:r>
      <w:r w:rsidRPr="0065554C">
        <w:t xml:space="preserve"> </w:t>
      </w:r>
      <w:r w:rsidR="00903C2A" w:rsidRPr="0065554C">
        <w:t>Punto</w:t>
      </w:r>
      <w:r w:rsidRPr="0065554C">
        <w:t xml:space="preserve"> </w:t>
      </w:r>
      <w:r w:rsidR="00EA020B" w:rsidRPr="0065554C">
        <w:t xml:space="preserve">1(e), </w:t>
      </w:r>
      <w:r w:rsidRPr="0065554C">
        <w:t>3(</w:t>
      </w:r>
      <w:r w:rsidR="00D57637" w:rsidRPr="0065554C">
        <w:t>B</w:t>
      </w:r>
      <w:r w:rsidRPr="0065554C">
        <w:t>) y (</w:t>
      </w:r>
      <w:r w:rsidR="00D57637" w:rsidRPr="0065554C">
        <w:t>G</w:t>
      </w:r>
      <w:r w:rsidRPr="0065554C">
        <w:t>)</w:t>
      </w:r>
      <w:r w:rsidR="002621C1" w:rsidRPr="0065554C">
        <w:t>.</w:t>
      </w:r>
    </w:p>
    <w:p w14:paraId="1D96B03D" w14:textId="77777777" w:rsidR="00160338" w:rsidRPr="0065554C" w:rsidRDefault="00160338" w:rsidP="00160338">
      <w:pPr>
        <w:pStyle w:val="Anexoencontenido"/>
        <w:tabs>
          <w:tab w:val="clear" w:pos="851"/>
          <w:tab w:val="clear" w:pos="1985"/>
          <w:tab w:val="left" w:pos="709"/>
        </w:tabs>
        <w:spacing w:before="120"/>
        <w:ind w:left="709" w:hanging="709"/>
        <w:jc w:val="left"/>
      </w:pPr>
      <w:r w:rsidRPr="0065554C">
        <w:t xml:space="preserve">II.6 </w:t>
      </w:r>
      <w:r w:rsidRPr="0065554C">
        <w:tab/>
        <w:t xml:space="preserve">Reglas para definir Zonas de Exportación, Subzonas de Exportación y </w:t>
      </w:r>
      <w:r w:rsidRPr="0065554C">
        <w:br/>
        <w:t>Zonas de Precio para subestaciones nuevas derivado de la apertura de líneas de transmisión</w:t>
      </w:r>
    </w:p>
    <w:p w14:paraId="38F3D8CC" w14:textId="77777777" w:rsidR="00160338" w:rsidRPr="0065554C" w:rsidRDefault="00160338" w:rsidP="00160338">
      <w:pPr>
        <w:pStyle w:val="Contenidodeanexo"/>
      </w:pPr>
      <w:r w:rsidRPr="0065554C">
        <w:tab/>
        <w:t xml:space="preserve">Referido en </w:t>
      </w:r>
      <w:r w:rsidR="00EA020B" w:rsidRPr="0065554C">
        <w:t>los</w:t>
      </w:r>
      <w:r w:rsidRPr="0065554C">
        <w:t xml:space="preserve"> numeral</w:t>
      </w:r>
      <w:r w:rsidR="00EA020B" w:rsidRPr="0065554C">
        <w:t>es</w:t>
      </w:r>
      <w:r w:rsidRPr="0065554C">
        <w:t xml:space="preserve"> 2.3.3(c)</w:t>
      </w:r>
      <w:r w:rsidR="00EA020B" w:rsidRPr="0065554C">
        <w:t xml:space="preserve"> y 5.8.3(a)(ii)</w:t>
      </w:r>
      <w:r w:rsidRPr="0065554C">
        <w:t>.</w:t>
      </w:r>
    </w:p>
    <w:p w14:paraId="7DD0CC45" w14:textId="77777777" w:rsidR="00160338" w:rsidRPr="0065554C" w:rsidRDefault="00160338" w:rsidP="00160338">
      <w:pPr>
        <w:pStyle w:val="Anexoencontenido"/>
        <w:tabs>
          <w:tab w:val="clear" w:pos="851"/>
          <w:tab w:val="clear" w:pos="1985"/>
          <w:tab w:val="left" w:pos="709"/>
        </w:tabs>
        <w:spacing w:before="120"/>
        <w:ind w:left="709" w:hanging="709"/>
        <w:jc w:val="left"/>
      </w:pPr>
      <w:r w:rsidRPr="0065554C">
        <w:t xml:space="preserve">II.7 </w:t>
      </w:r>
      <w:r w:rsidRPr="0065554C">
        <w:tab/>
        <w:t>Mapas geográficos ilustrativos de las Zonas de Potencia, Zonas de Generación, Sub Zonas de Exportación y Zonas de Precio</w:t>
      </w:r>
    </w:p>
    <w:p w14:paraId="4E395BD1" w14:textId="77777777" w:rsidR="00160338" w:rsidRPr="0065554C" w:rsidRDefault="00160338" w:rsidP="00160338">
      <w:pPr>
        <w:pStyle w:val="Contenidodeanexo"/>
      </w:pPr>
      <w:r w:rsidRPr="0065554C">
        <w:tab/>
        <w:t xml:space="preserve">Referido en </w:t>
      </w:r>
      <w:r w:rsidR="00EA020B" w:rsidRPr="0065554C">
        <w:t>el</w:t>
      </w:r>
      <w:r w:rsidRPr="0065554C">
        <w:t xml:space="preserve"> numeral 2.3.4.</w:t>
      </w:r>
    </w:p>
    <w:p w14:paraId="0984385F" w14:textId="77777777" w:rsidR="00160338" w:rsidRPr="0065554C" w:rsidRDefault="00160338" w:rsidP="00160338">
      <w:pPr>
        <w:pStyle w:val="Anexoencontenido"/>
        <w:tabs>
          <w:tab w:val="clear" w:pos="851"/>
          <w:tab w:val="clear" w:pos="1985"/>
          <w:tab w:val="left" w:pos="709"/>
        </w:tabs>
        <w:spacing w:before="120"/>
        <w:ind w:left="709" w:hanging="709"/>
      </w:pPr>
      <w:r w:rsidRPr="0065554C">
        <w:t>III.1</w:t>
      </w:r>
      <w:r w:rsidR="00674CEF" w:rsidRPr="0065554C">
        <w:t>a</w:t>
      </w:r>
      <w:r w:rsidRPr="0065554C">
        <w:tab/>
        <w:t>Obligación de persona física de constituir una sociedad de propósito específico</w:t>
      </w:r>
    </w:p>
    <w:p w14:paraId="30734704" w14:textId="77777777" w:rsidR="00160338" w:rsidRPr="0065554C" w:rsidRDefault="00160338" w:rsidP="00160338">
      <w:pPr>
        <w:pStyle w:val="Contenidodeanexo"/>
      </w:pPr>
      <w:r w:rsidRPr="0065554C">
        <w:tab/>
        <w:t>Referido en el numeral 3.5.</w:t>
      </w:r>
      <w:r w:rsidR="00DA680D" w:rsidRPr="0065554C">
        <w:t>4</w:t>
      </w:r>
      <w:r w:rsidRPr="0065554C">
        <w:t xml:space="preserve"> y numeral </w:t>
      </w:r>
      <w:r w:rsidR="00B03EA9" w:rsidRPr="0065554C">
        <w:t>3</w:t>
      </w:r>
      <w:r w:rsidRPr="0065554C">
        <w:t xml:space="preserve"> del Anexo V.1.</w:t>
      </w:r>
    </w:p>
    <w:p w14:paraId="51782843" w14:textId="77777777" w:rsidR="00676BFE" w:rsidRPr="0065554C" w:rsidRDefault="00676BFE" w:rsidP="00676BFE">
      <w:pPr>
        <w:tabs>
          <w:tab w:val="clear" w:pos="851"/>
          <w:tab w:val="left" w:pos="709"/>
        </w:tabs>
        <w:spacing w:before="0"/>
        <w:rPr>
          <w:rFonts w:asciiTheme="minorHAnsi" w:hAnsiTheme="minorHAnsi" w:cstheme="minorHAnsi"/>
          <w:b/>
          <w:sz w:val="22"/>
          <w:lang w:val="es-ES_tradnl"/>
        </w:rPr>
      </w:pPr>
      <w:r w:rsidRPr="0065554C">
        <w:rPr>
          <w:rFonts w:asciiTheme="minorHAnsi" w:hAnsiTheme="minorHAnsi" w:cstheme="minorHAnsi"/>
          <w:b/>
          <w:sz w:val="22"/>
        </w:rPr>
        <w:t>III.1</w:t>
      </w:r>
      <w:r w:rsidR="00674CEF" w:rsidRPr="0065554C">
        <w:rPr>
          <w:rFonts w:asciiTheme="minorHAnsi" w:hAnsiTheme="minorHAnsi" w:cstheme="minorHAnsi"/>
          <w:b/>
          <w:sz w:val="22"/>
        </w:rPr>
        <w:t>b</w:t>
      </w:r>
      <w:r w:rsidRPr="0065554C">
        <w:rPr>
          <w:rFonts w:asciiTheme="minorHAnsi" w:hAnsiTheme="minorHAnsi" w:cstheme="minorHAnsi"/>
          <w:sz w:val="22"/>
        </w:rPr>
        <w:t xml:space="preserve"> </w:t>
      </w:r>
      <w:r w:rsidRPr="0065554C">
        <w:rPr>
          <w:rFonts w:asciiTheme="minorHAnsi" w:hAnsiTheme="minorHAnsi" w:cstheme="minorHAnsi"/>
          <w:sz w:val="22"/>
        </w:rPr>
        <w:tab/>
      </w:r>
      <w:r w:rsidRPr="0065554C">
        <w:rPr>
          <w:rFonts w:asciiTheme="minorHAnsi" w:hAnsiTheme="minorHAnsi" w:cstheme="minorHAnsi"/>
          <w:b/>
          <w:sz w:val="22"/>
          <w:lang w:val="es-ES_tradnl"/>
        </w:rPr>
        <w:t>Formato de persona física</w:t>
      </w:r>
      <w:r w:rsidRPr="0065554C">
        <w:rPr>
          <w:rFonts w:asciiTheme="minorHAnsi" w:hAnsiTheme="minorHAnsi" w:cstheme="minorHAnsi"/>
          <w:sz w:val="22"/>
        </w:rPr>
        <w:t xml:space="preserve"> </w:t>
      </w:r>
      <w:r w:rsidRPr="0065554C">
        <w:rPr>
          <w:rFonts w:asciiTheme="minorHAnsi" w:hAnsiTheme="minorHAnsi" w:cstheme="minorHAnsi"/>
          <w:b/>
          <w:sz w:val="22"/>
          <w:lang w:val="es-ES_tradnl"/>
        </w:rPr>
        <w:t xml:space="preserve">para firmar </w:t>
      </w:r>
      <w:r w:rsidR="0069334F" w:rsidRPr="0065554C">
        <w:rPr>
          <w:rFonts w:asciiTheme="minorHAnsi" w:hAnsiTheme="minorHAnsi" w:cstheme="minorHAnsi"/>
          <w:b/>
          <w:sz w:val="22"/>
          <w:lang w:val="es-ES_tradnl"/>
        </w:rPr>
        <w:t>el contrato a través de</w:t>
      </w:r>
      <w:r w:rsidRPr="0065554C">
        <w:rPr>
          <w:rFonts w:asciiTheme="minorHAnsi" w:hAnsiTheme="minorHAnsi" w:cstheme="minorHAnsi"/>
          <w:b/>
          <w:sz w:val="22"/>
          <w:lang w:val="es-ES_tradnl"/>
        </w:rPr>
        <w:t xml:space="preserve"> una Sociedad de Propósito Especifico Existente </w:t>
      </w:r>
    </w:p>
    <w:p w14:paraId="09AD7AF2" w14:textId="77777777" w:rsidR="00676BFE" w:rsidRPr="0065554C" w:rsidRDefault="00676BFE" w:rsidP="00676BFE">
      <w:pPr>
        <w:tabs>
          <w:tab w:val="clear" w:pos="851"/>
          <w:tab w:val="left" w:pos="709"/>
        </w:tabs>
        <w:spacing w:before="0"/>
      </w:pPr>
      <w:r w:rsidRPr="0065554C">
        <w:rPr>
          <w:rFonts w:asciiTheme="minorHAnsi" w:hAnsiTheme="minorHAnsi"/>
          <w:b/>
          <w:sz w:val="22"/>
          <w:lang w:val="es-ES_tradnl"/>
        </w:rPr>
        <w:tab/>
      </w:r>
      <w:r w:rsidRPr="0065554C">
        <w:rPr>
          <w:rFonts w:asciiTheme="minorHAnsi" w:hAnsiTheme="minorHAnsi"/>
          <w:sz w:val="22"/>
          <w:lang w:val="es-ES_tradnl"/>
        </w:rPr>
        <w:t>Referido en el numeral 3.5.</w:t>
      </w:r>
      <w:r w:rsidR="00DA680D" w:rsidRPr="0065554C">
        <w:rPr>
          <w:rFonts w:asciiTheme="minorHAnsi" w:hAnsiTheme="minorHAnsi"/>
          <w:sz w:val="22"/>
          <w:lang w:val="es-ES_tradnl"/>
        </w:rPr>
        <w:t>4</w:t>
      </w:r>
      <w:r w:rsidRPr="0065554C">
        <w:rPr>
          <w:rFonts w:asciiTheme="minorHAnsi" w:hAnsiTheme="minorHAnsi"/>
          <w:sz w:val="22"/>
          <w:lang w:val="es-ES_tradnl"/>
        </w:rPr>
        <w:t xml:space="preserve"> y numeral </w:t>
      </w:r>
      <w:r w:rsidR="0052345E" w:rsidRPr="0065554C">
        <w:rPr>
          <w:rFonts w:asciiTheme="minorHAnsi" w:hAnsiTheme="minorHAnsi"/>
          <w:sz w:val="22"/>
          <w:lang w:val="es-ES_tradnl"/>
        </w:rPr>
        <w:t>3</w:t>
      </w:r>
      <w:r w:rsidRPr="0065554C">
        <w:rPr>
          <w:rFonts w:asciiTheme="minorHAnsi" w:hAnsiTheme="minorHAnsi"/>
          <w:sz w:val="22"/>
          <w:lang w:val="es-ES_tradnl"/>
        </w:rPr>
        <w:t xml:space="preserve"> del Anexo V.1</w:t>
      </w:r>
    </w:p>
    <w:p w14:paraId="5F5238E7" w14:textId="77777777" w:rsidR="00160338" w:rsidRPr="0065554C" w:rsidRDefault="00160338">
      <w:pPr>
        <w:pStyle w:val="Anexoencontenido"/>
        <w:tabs>
          <w:tab w:val="clear" w:pos="851"/>
          <w:tab w:val="clear" w:pos="1985"/>
          <w:tab w:val="left" w:pos="709"/>
        </w:tabs>
        <w:spacing w:before="120"/>
        <w:ind w:left="709" w:hanging="709"/>
        <w:jc w:val="left"/>
      </w:pPr>
      <w:r w:rsidRPr="0065554C">
        <w:t>III.2</w:t>
      </w:r>
      <w:r w:rsidR="00674CEF" w:rsidRPr="0065554C">
        <w:t>a</w:t>
      </w:r>
      <w:r w:rsidRPr="0065554C">
        <w:tab/>
        <w:t xml:space="preserve">Obligación de Consorcio o de persona moral de constituir una </w:t>
      </w:r>
      <w:r w:rsidR="0069334F" w:rsidRPr="0065554C">
        <w:t>Sociedad de Propósito Específico</w:t>
      </w:r>
    </w:p>
    <w:p w14:paraId="705DEF73" w14:textId="77777777" w:rsidR="00160338" w:rsidRPr="0065554C" w:rsidRDefault="00160338" w:rsidP="00160338">
      <w:pPr>
        <w:pStyle w:val="Contenidodeanexo"/>
      </w:pPr>
      <w:r w:rsidRPr="0065554C">
        <w:tab/>
      </w:r>
      <w:r w:rsidRPr="0065554C">
        <w:rPr>
          <w:sz w:val="22"/>
          <w:szCs w:val="22"/>
        </w:rPr>
        <w:t xml:space="preserve">Referido en </w:t>
      </w:r>
      <w:r w:rsidR="00EA020B" w:rsidRPr="0065554C">
        <w:rPr>
          <w:sz w:val="22"/>
          <w:szCs w:val="22"/>
        </w:rPr>
        <w:t>los</w:t>
      </w:r>
      <w:r w:rsidRPr="0065554C">
        <w:rPr>
          <w:sz w:val="22"/>
          <w:szCs w:val="22"/>
        </w:rPr>
        <w:t xml:space="preserve"> numeral</w:t>
      </w:r>
      <w:r w:rsidR="00EA020B" w:rsidRPr="0065554C">
        <w:rPr>
          <w:sz w:val="22"/>
          <w:szCs w:val="22"/>
        </w:rPr>
        <w:t>es</w:t>
      </w:r>
      <w:r w:rsidRPr="0065554C">
        <w:rPr>
          <w:sz w:val="22"/>
          <w:szCs w:val="22"/>
        </w:rPr>
        <w:t xml:space="preserve"> </w:t>
      </w:r>
      <w:r w:rsidR="00DA680D" w:rsidRPr="0065554C">
        <w:rPr>
          <w:sz w:val="22"/>
          <w:szCs w:val="22"/>
        </w:rPr>
        <w:t xml:space="preserve">3.5.3, </w:t>
      </w:r>
      <w:r w:rsidRPr="0065554C">
        <w:rPr>
          <w:sz w:val="22"/>
          <w:szCs w:val="22"/>
        </w:rPr>
        <w:t>3.5.</w:t>
      </w:r>
      <w:r w:rsidR="00DA680D" w:rsidRPr="0065554C">
        <w:rPr>
          <w:sz w:val="22"/>
          <w:szCs w:val="22"/>
        </w:rPr>
        <w:t>5</w:t>
      </w:r>
      <w:r w:rsidR="002621C1" w:rsidRPr="0065554C">
        <w:rPr>
          <w:sz w:val="22"/>
          <w:szCs w:val="22"/>
        </w:rPr>
        <w:t>, 3.5.</w:t>
      </w:r>
      <w:r w:rsidR="00DA680D" w:rsidRPr="0065554C">
        <w:rPr>
          <w:sz w:val="22"/>
          <w:szCs w:val="22"/>
        </w:rPr>
        <w:t>8</w:t>
      </w:r>
      <w:r w:rsidRPr="0065554C">
        <w:rPr>
          <w:sz w:val="22"/>
          <w:szCs w:val="22"/>
        </w:rPr>
        <w:t xml:space="preserve"> y numeral </w:t>
      </w:r>
      <w:r w:rsidR="00B03EA9" w:rsidRPr="0065554C">
        <w:rPr>
          <w:sz w:val="22"/>
          <w:szCs w:val="22"/>
        </w:rPr>
        <w:t>3</w:t>
      </w:r>
      <w:r w:rsidRPr="0065554C">
        <w:rPr>
          <w:sz w:val="22"/>
          <w:szCs w:val="22"/>
        </w:rPr>
        <w:t xml:space="preserve"> del Anexo V.1.</w:t>
      </w:r>
    </w:p>
    <w:p w14:paraId="5EB80071" w14:textId="77777777" w:rsidR="00676BFE" w:rsidRPr="0065554C" w:rsidRDefault="00676BFE" w:rsidP="00676BFE">
      <w:pPr>
        <w:pStyle w:val="Contenidodeanexo"/>
        <w:rPr>
          <w:b/>
          <w:sz w:val="22"/>
          <w:szCs w:val="22"/>
        </w:rPr>
      </w:pPr>
      <w:r w:rsidRPr="0065554C">
        <w:rPr>
          <w:b/>
          <w:sz w:val="22"/>
          <w:szCs w:val="22"/>
        </w:rPr>
        <w:t>III.2b</w:t>
      </w:r>
      <w:r w:rsidRPr="0065554C">
        <w:rPr>
          <w:sz w:val="22"/>
          <w:szCs w:val="22"/>
        </w:rPr>
        <w:tab/>
      </w:r>
      <w:r w:rsidRPr="0065554C">
        <w:rPr>
          <w:b/>
          <w:sz w:val="22"/>
          <w:szCs w:val="22"/>
        </w:rPr>
        <w:t xml:space="preserve">Formato de </w:t>
      </w:r>
      <w:r w:rsidRPr="0065554C">
        <w:rPr>
          <w:b/>
          <w:sz w:val="22"/>
          <w:szCs w:val="22"/>
          <w:lang w:val="es-MX"/>
        </w:rPr>
        <w:t>Consorcios o personas morales</w:t>
      </w:r>
      <w:r w:rsidRPr="0065554C">
        <w:rPr>
          <w:b/>
          <w:sz w:val="22"/>
          <w:szCs w:val="22"/>
        </w:rPr>
        <w:t xml:space="preserve"> para firmar </w:t>
      </w:r>
      <w:r w:rsidR="0069334F" w:rsidRPr="0065554C">
        <w:rPr>
          <w:b/>
          <w:sz w:val="22"/>
          <w:szCs w:val="22"/>
        </w:rPr>
        <w:t>el contrato a través de</w:t>
      </w:r>
      <w:r w:rsidRPr="0065554C">
        <w:rPr>
          <w:b/>
          <w:sz w:val="22"/>
          <w:szCs w:val="22"/>
        </w:rPr>
        <w:t xml:space="preserve"> una Sociedad de Propósito Especifico Existente </w:t>
      </w:r>
    </w:p>
    <w:p w14:paraId="53F5DE05" w14:textId="77777777" w:rsidR="00676BFE" w:rsidRPr="0065554C" w:rsidRDefault="00676BFE" w:rsidP="00676BFE">
      <w:pPr>
        <w:pStyle w:val="Contenidodeanexo"/>
      </w:pPr>
      <w:r w:rsidRPr="0065554C">
        <w:tab/>
      </w:r>
      <w:r w:rsidRPr="0065554C">
        <w:rPr>
          <w:sz w:val="22"/>
          <w:szCs w:val="22"/>
        </w:rPr>
        <w:t>Referido en los numerales 3.5.</w:t>
      </w:r>
      <w:r w:rsidR="00F87348" w:rsidRPr="0065554C">
        <w:rPr>
          <w:sz w:val="22"/>
          <w:szCs w:val="22"/>
        </w:rPr>
        <w:t>3</w:t>
      </w:r>
      <w:r w:rsidRPr="0065554C">
        <w:rPr>
          <w:sz w:val="22"/>
          <w:szCs w:val="22"/>
        </w:rPr>
        <w:t>, 3.5.</w:t>
      </w:r>
      <w:r w:rsidR="00F87348" w:rsidRPr="0065554C">
        <w:rPr>
          <w:sz w:val="22"/>
          <w:szCs w:val="22"/>
        </w:rPr>
        <w:t>5, 3.5.8</w:t>
      </w:r>
      <w:r w:rsidRPr="0065554C">
        <w:rPr>
          <w:sz w:val="22"/>
          <w:szCs w:val="22"/>
        </w:rPr>
        <w:t xml:space="preserve"> y el numeral </w:t>
      </w:r>
      <w:r w:rsidR="00B03EA9" w:rsidRPr="0065554C">
        <w:rPr>
          <w:sz w:val="22"/>
          <w:szCs w:val="22"/>
        </w:rPr>
        <w:t>3</w:t>
      </w:r>
      <w:r w:rsidRPr="0065554C">
        <w:rPr>
          <w:sz w:val="22"/>
          <w:szCs w:val="22"/>
        </w:rPr>
        <w:t xml:space="preserve"> del Anexo V.1</w:t>
      </w:r>
    </w:p>
    <w:p w14:paraId="1A534008" w14:textId="77777777" w:rsidR="00002594" w:rsidRPr="0065554C" w:rsidRDefault="00002594" w:rsidP="00002594">
      <w:pPr>
        <w:pStyle w:val="Anexoencontenido"/>
        <w:tabs>
          <w:tab w:val="clear" w:pos="851"/>
          <w:tab w:val="clear" w:pos="1985"/>
          <w:tab w:val="left" w:pos="709"/>
        </w:tabs>
        <w:spacing w:before="120"/>
        <w:ind w:left="709" w:hanging="709"/>
        <w:jc w:val="left"/>
      </w:pPr>
      <w:r w:rsidRPr="0065554C">
        <w:t>III</w:t>
      </w:r>
      <w:r w:rsidRPr="0065554C">
        <w:rPr>
          <w:b w:val="0"/>
        </w:rPr>
        <w:t>.</w:t>
      </w:r>
      <w:r w:rsidRPr="0065554C">
        <w:t>2c</w:t>
      </w:r>
      <w:r w:rsidRPr="0065554C">
        <w:rPr>
          <w:b w:val="0"/>
        </w:rPr>
        <w:tab/>
      </w:r>
      <w:r w:rsidR="00330DB0" w:rsidRPr="0065554C">
        <w:t>Obligación de persona moral de firmar directamente</w:t>
      </w:r>
    </w:p>
    <w:p w14:paraId="06CC410F" w14:textId="77777777" w:rsidR="00002594" w:rsidRPr="0065554C" w:rsidRDefault="00002594" w:rsidP="00002594">
      <w:pPr>
        <w:pStyle w:val="Contenidodeanexo"/>
      </w:pPr>
      <w:r w:rsidRPr="0065554C">
        <w:tab/>
      </w:r>
      <w:r w:rsidRPr="0065554C">
        <w:rPr>
          <w:sz w:val="22"/>
          <w:szCs w:val="22"/>
        </w:rPr>
        <w:t xml:space="preserve">Referido en los </w:t>
      </w:r>
      <w:r w:rsidR="001506BA" w:rsidRPr="0065554C">
        <w:rPr>
          <w:sz w:val="22"/>
          <w:szCs w:val="22"/>
        </w:rPr>
        <w:t>numerales 3.5.5</w:t>
      </w:r>
      <w:r w:rsidR="00330DB0" w:rsidRPr="0065554C">
        <w:rPr>
          <w:sz w:val="22"/>
          <w:szCs w:val="22"/>
        </w:rPr>
        <w:t xml:space="preserve"> </w:t>
      </w:r>
      <w:r w:rsidRPr="0065554C">
        <w:rPr>
          <w:sz w:val="22"/>
          <w:szCs w:val="22"/>
        </w:rPr>
        <w:t xml:space="preserve">y numeral </w:t>
      </w:r>
      <w:r w:rsidR="009348A6" w:rsidRPr="0065554C">
        <w:rPr>
          <w:sz w:val="22"/>
          <w:szCs w:val="22"/>
        </w:rPr>
        <w:t>3</w:t>
      </w:r>
      <w:r w:rsidRPr="0065554C">
        <w:rPr>
          <w:sz w:val="22"/>
          <w:szCs w:val="22"/>
        </w:rPr>
        <w:t xml:space="preserve"> del Anexo V.1</w:t>
      </w:r>
    </w:p>
    <w:p w14:paraId="64E8A13B" w14:textId="77777777" w:rsidR="00002594" w:rsidRPr="0065554C" w:rsidRDefault="00002594" w:rsidP="00002594">
      <w:pPr>
        <w:pStyle w:val="Contenidodeanexo"/>
        <w:rPr>
          <w:b/>
          <w:sz w:val="22"/>
          <w:szCs w:val="22"/>
        </w:rPr>
      </w:pPr>
      <w:r w:rsidRPr="0065554C">
        <w:rPr>
          <w:b/>
          <w:sz w:val="22"/>
          <w:szCs w:val="22"/>
        </w:rPr>
        <w:t>III.2d</w:t>
      </w:r>
      <w:r w:rsidRPr="0065554C">
        <w:rPr>
          <w:sz w:val="22"/>
          <w:szCs w:val="22"/>
        </w:rPr>
        <w:tab/>
      </w:r>
      <w:r w:rsidR="00330DB0" w:rsidRPr="0065554C">
        <w:rPr>
          <w:b/>
          <w:sz w:val="22"/>
        </w:rPr>
        <w:t>Obligación de firmar como Consorcio directamente</w:t>
      </w:r>
    </w:p>
    <w:p w14:paraId="4B7E4AE5" w14:textId="77777777" w:rsidR="00002594" w:rsidRPr="0065554C" w:rsidRDefault="00002594" w:rsidP="00002594">
      <w:pPr>
        <w:pStyle w:val="Contenidodeanexo"/>
      </w:pPr>
      <w:r w:rsidRPr="0065554C">
        <w:tab/>
      </w:r>
      <w:r w:rsidRPr="0065554C">
        <w:rPr>
          <w:sz w:val="22"/>
          <w:szCs w:val="22"/>
        </w:rPr>
        <w:t>Referido en los numerales 3.5.</w:t>
      </w:r>
      <w:r w:rsidR="00330DB0" w:rsidRPr="0065554C">
        <w:rPr>
          <w:sz w:val="22"/>
          <w:szCs w:val="22"/>
        </w:rPr>
        <w:t>3</w:t>
      </w:r>
      <w:r w:rsidRPr="0065554C">
        <w:rPr>
          <w:sz w:val="22"/>
          <w:szCs w:val="22"/>
        </w:rPr>
        <w:t xml:space="preserve"> y el numeral </w:t>
      </w:r>
      <w:r w:rsidR="009348A6" w:rsidRPr="0065554C">
        <w:rPr>
          <w:sz w:val="22"/>
          <w:szCs w:val="22"/>
        </w:rPr>
        <w:t>3</w:t>
      </w:r>
      <w:r w:rsidRPr="0065554C">
        <w:rPr>
          <w:sz w:val="22"/>
          <w:szCs w:val="22"/>
        </w:rPr>
        <w:t xml:space="preserve"> del Anexo V.1</w:t>
      </w:r>
    </w:p>
    <w:p w14:paraId="470C13B3" w14:textId="77777777" w:rsidR="00002594" w:rsidRPr="0065554C" w:rsidRDefault="00002594" w:rsidP="00676BFE">
      <w:pPr>
        <w:pStyle w:val="Contenidodeanexo"/>
      </w:pPr>
    </w:p>
    <w:p w14:paraId="355C9212" w14:textId="77777777" w:rsidR="00160338" w:rsidRPr="0065554C" w:rsidRDefault="00160338" w:rsidP="00160338">
      <w:pPr>
        <w:pStyle w:val="Anexoencontenido"/>
        <w:tabs>
          <w:tab w:val="clear" w:pos="851"/>
          <w:tab w:val="clear" w:pos="1985"/>
          <w:tab w:val="left" w:pos="709"/>
        </w:tabs>
        <w:spacing w:before="120"/>
        <w:ind w:left="709" w:hanging="709"/>
      </w:pPr>
      <w:r w:rsidRPr="0065554C">
        <w:lastRenderedPageBreak/>
        <w:t>III.3</w:t>
      </w:r>
      <w:r w:rsidRPr="0065554C">
        <w:tab/>
        <w:t>Modelo de Convenio Consorcial</w:t>
      </w:r>
    </w:p>
    <w:p w14:paraId="3B5C806D" w14:textId="77777777" w:rsidR="00160338" w:rsidRPr="0065554C" w:rsidRDefault="00160338" w:rsidP="00160338">
      <w:pPr>
        <w:pStyle w:val="Contenidodeanexo"/>
      </w:pPr>
      <w:r w:rsidRPr="0065554C">
        <w:tab/>
        <w:t>Referido en el numeral 3.5.</w:t>
      </w:r>
      <w:r w:rsidR="00B03EA9" w:rsidRPr="0065554C">
        <w:t>7</w:t>
      </w:r>
      <w:r w:rsidRPr="0065554C">
        <w:t xml:space="preserve"> y numeral </w:t>
      </w:r>
      <w:r w:rsidR="00EA020B" w:rsidRPr="0065554C">
        <w:t>5</w:t>
      </w:r>
      <w:r w:rsidRPr="0065554C">
        <w:t xml:space="preserve"> del Anexo V.1</w:t>
      </w:r>
    </w:p>
    <w:p w14:paraId="66B79ECD" w14:textId="77777777" w:rsidR="00160338" w:rsidRPr="0065554C" w:rsidRDefault="00160338" w:rsidP="00160338">
      <w:pPr>
        <w:pStyle w:val="Anexoencontenido"/>
        <w:tabs>
          <w:tab w:val="clear" w:pos="851"/>
          <w:tab w:val="clear" w:pos="1985"/>
          <w:tab w:val="left" w:pos="709"/>
        </w:tabs>
        <w:spacing w:before="120"/>
        <w:ind w:left="709" w:hanging="709"/>
      </w:pPr>
      <w:r w:rsidRPr="0065554C">
        <w:t>III.4</w:t>
      </w:r>
      <w:r w:rsidRPr="0065554C">
        <w:tab/>
        <w:t>Aceptación de uso de medios de comunicación</w:t>
      </w:r>
      <w:r w:rsidR="00FB6198" w:rsidRPr="0065554C">
        <w:t xml:space="preserve"> </w:t>
      </w:r>
      <w:r w:rsidR="0024445B" w:rsidRPr="0065554C">
        <w:t xml:space="preserve">para </w:t>
      </w:r>
      <w:r w:rsidR="00D07DE9" w:rsidRPr="0065554C">
        <w:t xml:space="preserve">el </w:t>
      </w:r>
      <w:r w:rsidR="001506BA" w:rsidRPr="0065554C">
        <w:t>I</w:t>
      </w:r>
      <w:r w:rsidR="00D07DE9" w:rsidRPr="0065554C">
        <w:t>nteresado</w:t>
      </w:r>
      <w:r w:rsidR="0024445B" w:rsidRPr="0065554C">
        <w:t>.</w:t>
      </w:r>
    </w:p>
    <w:p w14:paraId="2D540A12" w14:textId="77777777" w:rsidR="00160338" w:rsidRPr="0065554C" w:rsidRDefault="00160338" w:rsidP="00160338">
      <w:pPr>
        <w:pStyle w:val="Contenidodeanexo"/>
      </w:pPr>
      <w:r w:rsidRPr="0065554C">
        <w:tab/>
        <w:t xml:space="preserve">Referido en </w:t>
      </w:r>
      <w:r w:rsidR="009348A6" w:rsidRPr="0065554C">
        <w:t>los</w:t>
      </w:r>
      <w:r w:rsidRPr="0065554C">
        <w:t xml:space="preserve"> numeral</w:t>
      </w:r>
      <w:r w:rsidR="009348A6" w:rsidRPr="0065554C">
        <w:t>es</w:t>
      </w:r>
      <w:r w:rsidRPr="0065554C">
        <w:t xml:space="preserve"> 3.6</w:t>
      </w:r>
      <w:r w:rsidR="003C284C" w:rsidRPr="0065554C">
        <w:t>.1</w:t>
      </w:r>
      <w:r w:rsidR="00D07DE9" w:rsidRPr="0065554C">
        <w:t xml:space="preserve"> y 3.6.2</w:t>
      </w:r>
      <w:r w:rsidR="00E30E53" w:rsidRPr="0065554C">
        <w:t>.</w:t>
      </w:r>
    </w:p>
    <w:p w14:paraId="0C132816" w14:textId="77777777" w:rsidR="00160338" w:rsidRPr="0065554C" w:rsidRDefault="00160338" w:rsidP="00160338">
      <w:pPr>
        <w:pStyle w:val="Anexoencontenido"/>
        <w:tabs>
          <w:tab w:val="clear" w:pos="851"/>
          <w:tab w:val="clear" w:pos="1985"/>
          <w:tab w:val="left" w:pos="709"/>
        </w:tabs>
        <w:spacing w:before="120"/>
        <w:ind w:left="709" w:hanging="709"/>
      </w:pPr>
      <w:r w:rsidRPr="0065554C">
        <w:t>III.5</w:t>
      </w:r>
      <w:r w:rsidRPr="0065554C">
        <w:tab/>
        <w:t>Declaración en materia de conflicto de interés y transparencia</w:t>
      </w:r>
    </w:p>
    <w:p w14:paraId="55F59BC6" w14:textId="77777777" w:rsidR="00160338" w:rsidRPr="0065554C" w:rsidRDefault="00160338" w:rsidP="00160338">
      <w:pPr>
        <w:pStyle w:val="Contenidodeanexo"/>
      </w:pPr>
      <w:r w:rsidRPr="0065554C">
        <w:tab/>
        <w:t>Referido en el numeral 3.9.4</w:t>
      </w:r>
      <w:r w:rsidR="00AB7729" w:rsidRPr="0065554C">
        <w:t xml:space="preserve">, </w:t>
      </w:r>
      <w:r w:rsidR="00656CD5" w:rsidRPr="0065554C">
        <w:t xml:space="preserve">4.2.3 (g), numeral 7 del Anexo IV.1 </w:t>
      </w:r>
      <w:r w:rsidRPr="0065554C">
        <w:t xml:space="preserve">y numeral </w:t>
      </w:r>
      <w:r w:rsidR="007D2AB8" w:rsidRPr="0065554C">
        <w:t>7</w:t>
      </w:r>
      <w:r w:rsidRPr="0065554C">
        <w:t xml:space="preserve"> del Anexo V.1.</w:t>
      </w:r>
    </w:p>
    <w:p w14:paraId="4A65D538" w14:textId="77777777" w:rsidR="00392DDC" w:rsidRPr="0065554C" w:rsidRDefault="00392DDC" w:rsidP="00392DDC">
      <w:pPr>
        <w:pStyle w:val="Anexoencontenido"/>
        <w:tabs>
          <w:tab w:val="clear" w:pos="851"/>
          <w:tab w:val="clear" w:pos="1985"/>
          <w:tab w:val="left" w:pos="709"/>
        </w:tabs>
        <w:spacing w:before="120"/>
        <w:ind w:left="709" w:hanging="709"/>
      </w:pPr>
      <w:r w:rsidRPr="0065554C">
        <w:t>III.5Bis</w:t>
      </w:r>
      <w:r w:rsidRPr="0065554C">
        <w:tab/>
        <w:t>Declaración en materia de conflicto de interés y transparencia para Comprador Potencial</w:t>
      </w:r>
    </w:p>
    <w:p w14:paraId="3FB19A76" w14:textId="67581969" w:rsidR="00392DDC" w:rsidRPr="0065554C" w:rsidRDefault="00392DDC" w:rsidP="00392DDC">
      <w:pPr>
        <w:pStyle w:val="Contenidodeanexo"/>
      </w:pPr>
      <w:r w:rsidRPr="0065554C">
        <w:tab/>
        <w:t xml:space="preserve">Referido en el numeral </w:t>
      </w:r>
      <w:r w:rsidR="00037F27" w:rsidRPr="0065554C">
        <w:t>3.9.4</w:t>
      </w:r>
      <w:r w:rsidR="00BB7C21">
        <w:t>, 4.3.4 y 4.4.3</w:t>
      </w:r>
      <w:r w:rsidR="00037F27" w:rsidRPr="0065554C">
        <w:t>.</w:t>
      </w:r>
    </w:p>
    <w:p w14:paraId="1B7F87E5" w14:textId="77777777" w:rsidR="00DA31A7" w:rsidRPr="0065554C" w:rsidRDefault="00DA31A7" w:rsidP="000D70DD">
      <w:pPr>
        <w:pStyle w:val="Anexoencontenido"/>
        <w:tabs>
          <w:tab w:val="clear" w:pos="851"/>
          <w:tab w:val="clear" w:pos="1985"/>
          <w:tab w:val="left" w:pos="709"/>
        </w:tabs>
        <w:spacing w:before="120"/>
        <w:ind w:left="709" w:hanging="709"/>
      </w:pPr>
      <w:r w:rsidRPr="0065554C">
        <w:t>III.6</w:t>
      </w:r>
      <w:r w:rsidRPr="0065554C">
        <w:tab/>
        <w:t>Instructivo para la Mesa de ayuda</w:t>
      </w:r>
    </w:p>
    <w:p w14:paraId="068D2CAB" w14:textId="77777777" w:rsidR="00DA31A7" w:rsidRPr="0065554C" w:rsidRDefault="00DA31A7" w:rsidP="00DA31A7">
      <w:pPr>
        <w:pStyle w:val="Contenidodeanexo"/>
      </w:pPr>
      <w:r w:rsidRPr="0065554C">
        <w:tab/>
        <w:t xml:space="preserve">Referido en </w:t>
      </w:r>
      <w:r w:rsidR="009348A6" w:rsidRPr="0065554C">
        <w:t>los numerales</w:t>
      </w:r>
      <w:r w:rsidRPr="0065554C">
        <w:t xml:space="preserve"> 3.12.1</w:t>
      </w:r>
      <w:r w:rsidR="00B03EA9" w:rsidRPr="0065554C">
        <w:t>, 3.12.2</w:t>
      </w:r>
      <w:r w:rsidRPr="0065554C">
        <w:t xml:space="preserve"> y 3.12.</w:t>
      </w:r>
      <w:r w:rsidR="00B03EA9" w:rsidRPr="0065554C">
        <w:t>4</w:t>
      </w:r>
    </w:p>
    <w:p w14:paraId="70F752BE" w14:textId="77777777" w:rsidR="00160338" w:rsidRPr="0065554C" w:rsidRDefault="00160338" w:rsidP="00160338">
      <w:pPr>
        <w:pStyle w:val="Anexoencontenido"/>
        <w:tabs>
          <w:tab w:val="clear" w:pos="851"/>
          <w:tab w:val="clear" w:pos="1985"/>
          <w:tab w:val="left" w:pos="709"/>
        </w:tabs>
        <w:spacing w:before="120"/>
        <w:ind w:left="709" w:hanging="709"/>
      </w:pPr>
      <w:r w:rsidRPr="0065554C">
        <w:t>IV.1</w:t>
      </w:r>
      <w:r w:rsidRPr="0065554C">
        <w:tab/>
        <w:t xml:space="preserve">Formato para la solicitud de registro de Comprador Potencial y para acreditar la capacidad legal, financiera y técnica y de ejecución </w:t>
      </w:r>
    </w:p>
    <w:p w14:paraId="5B2E2CD2" w14:textId="77777777" w:rsidR="00160338" w:rsidRPr="0065554C" w:rsidRDefault="00160338" w:rsidP="00160338">
      <w:pPr>
        <w:pStyle w:val="Contenidodeanexo"/>
      </w:pPr>
      <w:r w:rsidRPr="0065554C">
        <w:tab/>
        <w:t>Referido en los numerales 4.2.</w:t>
      </w:r>
      <w:r w:rsidR="00D77DA6" w:rsidRPr="0065554C">
        <w:t>3</w:t>
      </w:r>
      <w:r w:rsidRPr="0065554C">
        <w:t xml:space="preserve"> y 4.2.</w:t>
      </w:r>
      <w:r w:rsidR="00D77DA6" w:rsidRPr="0065554C">
        <w:t>4</w:t>
      </w:r>
      <w:r w:rsidRPr="0065554C">
        <w:t>(c).</w:t>
      </w:r>
    </w:p>
    <w:p w14:paraId="157A606A" w14:textId="77777777" w:rsidR="00160338" w:rsidRPr="0065554C" w:rsidRDefault="00160338" w:rsidP="00160338">
      <w:pPr>
        <w:pStyle w:val="Anexoencontenido"/>
        <w:tabs>
          <w:tab w:val="clear" w:pos="851"/>
          <w:tab w:val="clear" w:pos="1985"/>
          <w:tab w:val="left" w:pos="709"/>
        </w:tabs>
        <w:spacing w:before="120"/>
        <w:ind w:left="709" w:hanging="709"/>
      </w:pPr>
      <w:r w:rsidRPr="0065554C">
        <w:t>IV.2</w:t>
      </w:r>
      <w:r w:rsidRPr="0065554C">
        <w:tab/>
        <w:t>Formato para presentar Ofertas de Compra</w:t>
      </w:r>
      <w:r w:rsidR="00597818" w:rsidRPr="0065554C">
        <w:t xml:space="preserve"> del Suministrador de Servicios Básicos</w:t>
      </w:r>
    </w:p>
    <w:p w14:paraId="12D17A1C" w14:textId="77777777" w:rsidR="00160338" w:rsidRPr="0065554C" w:rsidRDefault="00160338" w:rsidP="00160338">
      <w:pPr>
        <w:pStyle w:val="Contenidodeanexo"/>
        <w:ind w:left="0" w:firstLine="0"/>
      </w:pPr>
      <w:r w:rsidRPr="0065554C">
        <w:tab/>
        <w:t>Referido en el numeral 4.</w:t>
      </w:r>
      <w:r w:rsidR="00CA0537" w:rsidRPr="0065554C">
        <w:t>3.</w:t>
      </w:r>
      <w:r w:rsidR="00D77DA6" w:rsidRPr="0065554C">
        <w:t>4</w:t>
      </w:r>
      <w:r w:rsidRPr="0065554C">
        <w:t>.</w:t>
      </w:r>
    </w:p>
    <w:p w14:paraId="09462F1C" w14:textId="77777777" w:rsidR="00990CE5" w:rsidRPr="0065554C" w:rsidRDefault="00990CE5" w:rsidP="002E1728">
      <w:pPr>
        <w:pStyle w:val="Contenidodeanexo"/>
        <w:rPr>
          <w:b/>
          <w:sz w:val="22"/>
        </w:rPr>
      </w:pPr>
      <w:r w:rsidRPr="0065554C">
        <w:rPr>
          <w:b/>
          <w:sz w:val="22"/>
        </w:rPr>
        <w:t>IV.</w:t>
      </w:r>
      <w:r w:rsidRPr="0065554C">
        <w:rPr>
          <w:b/>
          <w:sz w:val="22"/>
          <w:szCs w:val="22"/>
        </w:rPr>
        <w:t>2</w:t>
      </w:r>
      <w:r w:rsidR="00AB1A24" w:rsidRPr="0065554C">
        <w:rPr>
          <w:b/>
          <w:sz w:val="22"/>
          <w:szCs w:val="22"/>
        </w:rPr>
        <w:t>Bis</w:t>
      </w:r>
      <w:r w:rsidR="00AB1A24" w:rsidRPr="0065554C">
        <w:rPr>
          <w:b/>
          <w:sz w:val="22"/>
        </w:rPr>
        <w:t xml:space="preserve"> Formato</w:t>
      </w:r>
      <w:r w:rsidRPr="0065554C">
        <w:rPr>
          <w:b/>
          <w:sz w:val="22"/>
        </w:rPr>
        <w:t xml:space="preserve"> para presentar Ofertas de Compra para Entidades Responsables de Carga distintas al Suministrador de Servicios Básicos</w:t>
      </w:r>
    </w:p>
    <w:p w14:paraId="6489FBB8" w14:textId="77777777" w:rsidR="00990CE5" w:rsidRPr="0065554C" w:rsidRDefault="00990CE5" w:rsidP="002E1728">
      <w:pPr>
        <w:pStyle w:val="Contenidodeanexo"/>
        <w:ind w:firstLine="0"/>
      </w:pPr>
      <w:r w:rsidRPr="0065554C">
        <w:t>Referido en el numeral 4.4.3</w:t>
      </w:r>
      <w:r w:rsidR="007D24A7" w:rsidRPr="0065554C">
        <w:t>.</w:t>
      </w:r>
    </w:p>
    <w:p w14:paraId="1C8AA4AD" w14:textId="77777777" w:rsidR="00160338" w:rsidRPr="0065554C" w:rsidRDefault="00160338" w:rsidP="00160338">
      <w:pPr>
        <w:pStyle w:val="Anexoencontenido"/>
        <w:tabs>
          <w:tab w:val="clear" w:pos="851"/>
          <w:tab w:val="clear" w:pos="1985"/>
          <w:tab w:val="left" w:pos="709"/>
        </w:tabs>
        <w:spacing w:before="120"/>
        <w:ind w:left="709" w:hanging="709"/>
      </w:pPr>
      <w:r w:rsidRPr="0065554C">
        <w:t>IV.3</w:t>
      </w:r>
      <w:r w:rsidRPr="0065554C">
        <w:tab/>
        <w:t>No obligación de presentar Garantías de Seriedad</w:t>
      </w:r>
    </w:p>
    <w:p w14:paraId="0DDC4ABB" w14:textId="77777777" w:rsidR="00160338" w:rsidRPr="0065554C" w:rsidRDefault="00160338" w:rsidP="00160338">
      <w:pPr>
        <w:pStyle w:val="Contenidodeanexo"/>
      </w:pPr>
      <w:r w:rsidRPr="0065554C">
        <w:tab/>
        <w:t xml:space="preserve">Referido en el </w:t>
      </w:r>
      <w:r w:rsidR="009348A6" w:rsidRPr="0065554C">
        <w:t>Anexo IV.1</w:t>
      </w:r>
      <w:r w:rsidR="000E31D0" w:rsidRPr="0065554C">
        <w:t>, numeral 14 del Anexo IV.1.</w:t>
      </w:r>
    </w:p>
    <w:p w14:paraId="572B9F28" w14:textId="77777777" w:rsidR="00160338" w:rsidRPr="0065554C" w:rsidRDefault="00160338" w:rsidP="00160338">
      <w:pPr>
        <w:pStyle w:val="Anexoencontenido"/>
        <w:tabs>
          <w:tab w:val="clear" w:pos="851"/>
          <w:tab w:val="clear" w:pos="1985"/>
          <w:tab w:val="left" w:pos="709"/>
        </w:tabs>
        <w:spacing w:before="120"/>
        <w:ind w:left="709" w:hanging="709"/>
      </w:pPr>
      <w:r w:rsidRPr="0065554C">
        <w:t>IV.3Bis</w:t>
      </w:r>
      <w:r w:rsidRPr="0065554C">
        <w:tab/>
      </w:r>
      <w:r w:rsidR="00AB1A24" w:rsidRPr="0065554C">
        <w:t xml:space="preserve"> </w:t>
      </w:r>
      <w:r w:rsidRPr="0065554C">
        <w:t>Modelo de Garantía de Seriedad</w:t>
      </w:r>
      <w:r w:rsidR="005C0812" w:rsidRPr="0065554C">
        <w:t xml:space="preserve"> para </w:t>
      </w:r>
      <w:r w:rsidR="00E47D1E" w:rsidRPr="0065554C">
        <w:t>Ofertas de Compra</w:t>
      </w:r>
    </w:p>
    <w:p w14:paraId="3F85965A" w14:textId="77777777" w:rsidR="00160338" w:rsidRPr="0065554C" w:rsidRDefault="00160338" w:rsidP="00160338">
      <w:pPr>
        <w:pStyle w:val="Contenidodeanexo"/>
      </w:pPr>
      <w:r w:rsidRPr="0065554C">
        <w:tab/>
        <w:t xml:space="preserve">Referido en los numerales </w:t>
      </w:r>
      <w:r w:rsidR="00475270" w:rsidRPr="0065554C">
        <w:t xml:space="preserve">3.10.4, </w:t>
      </w:r>
      <w:r w:rsidR="00B855ED" w:rsidRPr="0065554C">
        <w:t xml:space="preserve">3.11.4, </w:t>
      </w:r>
      <w:r w:rsidRPr="0065554C">
        <w:t>4.</w:t>
      </w:r>
      <w:r w:rsidR="003A3BF2" w:rsidRPr="0065554C">
        <w:t>5</w:t>
      </w:r>
      <w:r w:rsidRPr="0065554C">
        <w:t xml:space="preserve">.1, </w:t>
      </w:r>
      <w:r w:rsidR="003A3BF2" w:rsidRPr="0065554C">
        <w:t>4.</w:t>
      </w:r>
      <w:r w:rsidRPr="0065554C">
        <w:t xml:space="preserve">5.3(a), </w:t>
      </w:r>
      <w:r w:rsidR="003A3BF2" w:rsidRPr="0065554C">
        <w:t>4.</w:t>
      </w:r>
      <w:r w:rsidRPr="0065554C">
        <w:t>5.</w:t>
      </w:r>
      <w:r w:rsidR="009348A6" w:rsidRPr="0065554C">
        <w:t>9</w:t>
      </w:r>
      <w:r w:rsidRPr="0065554C">
        <w:t>,</w:t>
      </w:r>
      <w:r w:rsidR="003A3BF2" w:rsidRPr="0065554C">
        <w:t xml:space="preserve"> 4.5.1</w:t>
      </w:r>
      <w:r w:rsidR="009348A6" w:rsidRPr="0065554C">
        <w:t>0</w:t>
      </w:r>
      <w:r w:rsidR="003A3BF2" w:rsidRPr="0065554C">
        <w:t>, 4.</w:t>
      </w:r>
      <w:r w:rsidRPr="0065554C">
        <w:t>5.1</w:t>
      </w:r>
      <w:r w:rsidR="009348A6" w:rsidRPr="0065554C">
        <w:t>1</w:t>
      </w:r>
      <w:r w:rsidR="00B855ED" w:rsidRPr="0065554C">
        <w:t>, 7.1.6</w:t>
      </w:r>
      <w:r w:rsidRPr="0065554C">
        <w:t>.</w:t>
      </w:r>
    </w:p>
    <w:p w14:paraId="02E5C5DA" w14:textId="77777777" w:rsidR="00160338" w:rsidRPr="0065554C" w:rsidRDefault="00160338" w:rsidP="00160338">
      <w:pPr>
        <w:pStyle w:val="Anexoencontenido"/>
        <w:tabs>
          <w:tab w:val="clear" w:pos="851"/>
          <w:tab w:val="clear" w:pos="1985"/>
          <w:tab w:val="left" w:pos="709"/>
        </w:tabs>
        <w:spacing w:before="120"/>
        <w:ind w:left="709" w:hanging="709"/>
      </w:pPr>
      <w:r w:rsidRPr="0065554C">
        <w:t>IV.4</w:t>
      </w:r>
      <w:r w:rsidRPr="0065554C">
        <w:tab/>
        <w:t>Oferta vinculante e irrevocable</w:t>
      </w:r>
    </w:p>
    <w:p w14:paraId="43E3F6CA" w14:textId="77777777" w:rsidR="00160338" w:rsidRPr="0065554C" w:rsidRDefault="00160338" w:rsidP="00160338">
      <w:pPr>
        <w:pStyle w:val="Contenidodeanexo"/>
      </w:pPr>
      <w:r w:rsidRPr="0065554C">
        <w:tab/>
        <w:t>Referido en el numeral 4.2.</w:t>
      </w:r>
      <w:r w:rsidR="003A3BF2" w:rsidRPr="0065554C">
        <w:t>3</w:t>
      </w:r>
      <w:r w:rsidR="002621C1" w:rsidRPr="0065554C">
        <w:t>(a)</w:t>
      </w:r>
      <w:r w:rsidR="000E31D0" w:rsidRPr="0065554C">
        <w:t>, numeral 8 del Anexo IV.1</w:t>
      </w:r>
      <w:r w:rsidR="007D24A7" w:rsidRPr="0065554C">
        <w:t>.</w:t>
      </w:r>
    </w:p>
    <w:p w14:paraId="1B7F7EE0" w14:textId="77777777" w:rsidR="00160338" w:rsidRPr="0065554C" w:rsidRDefault="00160338" w:rsidP="00160338">
      <w:pPr>
        <w:pStyle w:val="Anexoencontenido"/>
        <w:tabs>
          <w:tab w:val="clear" w:pos="851"/>
          <w:tab w:val="clear" w:pos="1985"/>
          <w:tab w:val="left" w:pos="709"/>
        </w:tabs>
        <w:spacing w:before="120"/>
        <w:ind w:left="709" w:hanging="709"/>
      </w:pPr>
      <w:r w:rsidRPr="0065554C">
        <w:t>IV.5</w:t>
      </w:r>
      <w:r w:rsidRPr="0065554C">
        <w:tab/>
        <w:t>Compromiso de firma de Contratos</w:t>
      </w:r>
    </w:p>
    <w:p w14:paraId="0533198A" w14:textId="77777777" w:rsidR="00160338" w:rsidRPr="0065554C" w:rsidRDefault="00160338" w:rsidP="00160338">
      <w:pPr>
        <w:pStyle w:val="Anexoencontenido"/>
        <w:tabs>
          <w:tab w:val="clear" w:pos="851"/>
          <w:tab w:val="clear" w:pos="1985"/>
          <w:tab w:val="left" w:pos="709"/>
        </w:tabs>
        <w:spacing w:before="120"/>
        <w:ind w:left="709" w:hanging="709"/>
      </w:pPr>
      <w:r w:rsidRPr="0065554C">
        <w:rPr>
          <w:b w:val="0"/>
          <w:sz w:val="20"/>
          <w:szCs w:val="20"/>
        </w:rPr>
        <w:tab/>
        <w:t>Referido en el numeral 4.2.</w:t>
      </w:r>
      <w:r w:rsidR="003A3BF2" w:rsidRPr="0065554C">
        <w:rPr>
          <w:b w:val="0"/>
          <w:sz w:val="20"/>
          <w:szCs w:val="20"/>
        </w:rPr>
        <w:t>3</w:t>
      </w:r>
      <w:r w:rsidR="002621C1" w:rsidRPr="0065554C">
        <w:rPr>
          <w:b w:val="0"/>
          <w:sz w:val="20"/>
          <w:szCs w:val="20"/>
        </w:rPr>
        <w:t>(b)</w:t>
      </w:r>
      <w:r w:rsidR="000E31D0" w:rsidRPr="0065554C">
        <w:rPr>
          <w:b w:val="0"/>
          <w:sz w:val="20"/>
          <w:szCs w:val="20"/>
        </w:rPr>
        <w:t>, numeral 9 del Anexo IV.1</w:t>
      </w:r>
      <w:r w:rsidR="007D24A7" w:rsidRPr="0065554C">
        <w:rPr>
          <w:b w:val="0"/>
          <w:sz w:val="20"/>
          <w:szCs w:val="20"/>
        </w:rPr>
        <w:t>.</w:t>
      </w:r>
    </w:p>
    <w:p w14:paraId="14678586" w14:textId="77777777" w:rsidR="00160338" w:rsidRPr="0065554C" w:rsidRDefault="00160338" w:rsidP="00160338">
      <w:pPr>
        <w:pStyle w:val="Anexoencontenido"/>
        <w:tabs>
          <w:tab w:val="clear" w:pos="851"/>
          <w:tab w:val="clear" w:pos="1985"/>
          <w:tab w:val="left" w:pos="709"/>
        </w:tabs>
        <w:spacing w:before="120"/>
        <w:ind w:left="709" w:hanging="709"/>
      </w:pPr>
      <w:r w:rsidRPr="0065554C">
        <w:t>IV.6</w:t>
      </w:r>
      <w:r w:rsidRPr="0065554C">
        <w:tab/>
        <w:t>Aceptación de la normatividad</w:t>
      </w:r>
    </w:p>
    <w:p w14:paraId="627A169B" w14:textId="77777777" w:rsidR="00160338" w:rsidRPr="0065554C" w:rsidRDefault="00160338" w:rsidP="00160338">
      <w:pPr>
        <w:pStyle w:val="Anexoencontenido"/>
        <w:tabs>
          <w:tab w:val="clear" w:pos="851"/>
          <w:tab w:val="clear" w:pos="1985"/>
          <w:tab w:val="left" w:pos="709"/>
        </w:tabs>
        <w:spacing w:before="120"/>
        <w:ind w:left="709" w:hanging="709"/>
      </w:pPr>
      <w:r w:rsidRPr="0065554C">
        <w:rPr>
          <w:b w:val="0"/>
          <w:sz w:val="20"/>
          <w:szCs w:val="20"/>
        </w:rPr>
        <w:tab/>
        <w:t>Referido en el numeral 4.2.</w:t>
      </w:r>
      <w:r w:rsidR="003A3BF2" w:rsidRPr="0065554C">
        <w:rPr>
          <w:b w:val="0"/>
          <w:sz w:val="20"/>
          <w:szCs w:val="20"/>
        </w:rPr>
        <w:t>3</w:t>
      </w:r>
      <w:r w:rsidR="002621C1" w:rsidRPr="0065554C">
        <w:rPr>
          <w:b w:val="0"/>
          <w:sz w:val="20"/>
          <w:szCs w:val="20"/>
        </w:rPr>
        <w:t>(c)</w:t>
      </w:r>
      <w:r w:rsidR="000E31D0" w:rsidRPr="0065554C">
        <w:rPr>
          <w:b w:val="0"/>
          <w:sz w:val="20"/>
          <w:szCs w:val="20"/>
        </w:rPr>
        <w:t>, numeral 10 del Anexo IV.1</w:t>
      </w:r>
      <w:r w:rsidR="007D24A7" w:rsidRPr="0065554C">
        <w:rPr>
          <w:b w:val="0"/>
          <w:sz w:val="20"/>
          <w:szCs w:val="20"/>
        </w:rPr>
        <w:t>.</w:t>
      </w:r>
    </w:p>
    <w:p w14:paraId="00C2299B" w14:textId="77777777" w:rsidR="00160338" w:rsidRPr="0065554C" w:rsidRDefault="00160338" w:rsidP="00160338">
      <w:pPr>
        <w:pStyle w:val="Anexoencontenido"/>
        <w:tabs>
          <w:tab w:val="clear" w:pos="851"/>
          <w:tab w:val="clear" w:pos="1985"/>
          <w:tab w:val="left" w:pos="709"/>
        </w:tabs>
        <w:spacing w:before="120"/>
        <w:ind w:left="709" w:hanging="709"/>
      </w:pPr>
      <w:r w:rsidRPr="0065554C">
        <w:t>IV.7</w:t>
      </w:r>
      <w:r w:rsidRPr="0065554C">
        <w:tab/>
        <w:t xml:space="preserve">Compromiso de ser Participante del Mercado </w:t>
      </w:r>
    </w:p>
    <w:p w14:paraId="33C2C500" w14:textId="77777777" w:rsidR="00160338" w:rsidRPr="0065554C" w:rsidRDefault="00160338" w:rsidP="00160338">
      <w:pPr>
        <w:pStyle w:val="Anexoencontenido"/>
        <w:tabs>
          <w:tab w:val="clear" w:pos="851"/>
          <w:tab w:val="clear" w:pos="1985"/>
          <w:tab w:val="left" w:pos="709"/>
        </w:tabs>
        <w:spacing w:before="120"/>
        <w:ind w:left="709" w:hanging="709"/>
      </w:pPr>
      <w:r w:rsidRPr="0065554C">
        <w:rPr>
          <w:b w:val="0"/>
          <w:sz w:val="20"/>
          <w:szCs w:val="20"/>
        </w:rPr>
        <w:tab/>
        <w:t>Referido en el numeral 4.2.</w:t>
      </w:r>
      <w:r w:rsidR="003A3BF2" w:rsidRPr="0065554C">
        <w:rPr>
          <w:b w:val="0"/>
          <w:sz w:val="20"/>
          <w:szCs w:val="20"/>
        </w:rPr>
        <w:t>3</w:t>
      </w:r>
      <w:r w:rsidR="002621C1" w:rsidRPr="0065554C">
        <w:rPr>
          <w:b w:val="0"/>
          <w:sz w:val="20"/>
          <w:szCs w:val="20"/>
        </w:rPr>
        <w:t>(d)</w:t>
      </w:r>
      <w:r w:rsidR="000E31D0" w:rsidRPr="0065554C">
        <w:rPr>
          <w:b w:val="0"/>
          <w:sz w:val="20"/>
          <w:szCs w:val="20"/>
        </w:rPr>
        <w:t>, numeral 11 del Anexo IV.1</w:t>
      </w:r>
      <w:r w:rsidR="007D24A7" w:rsidRPr="0065554C">
        <w:rPr>
          <w:b w:val="0"/>
          <w:sz w:val="20"/>
          <w:szCs w:val="20"/>
        </w:rPr>
        <w:t>.</w:t>
      </w:r>
    </w:p>
    <w:p w14:paraId="520C527D" w14:textId="77777777" w:rsidR="00160338" w:rsidRPr="0065554C" w:rsidRDefault="00160338" w:rsidP="00160338">
      <w:pPr>
        <w:pStyle w:val="Anexoencontenido"/>
        <w:tabs>
          <w:tab w:val="clear" w:pos="851"/>
          <w:tab w:val="clear" w:pos="1985"/>
          <w:tab w:val="left" w:pos="709"/>
        </w:tabs>
        <w:spacing w:before="120"/>
        <w:ind w:left="709" w:hanging="709"/>
      </w:pPr>
      <w:r w:rsidRPr="0065554C">
        <w:t>IV.8</w:t>
      </w:r>
      <w:r w:rsidRPr="0065554C">
        <w:tab/>
        <w:t>Oferta de Compra Autónoma</w:t>
      </w:r>
    </w:p>
    <w:p w14:paraId="3DC5614F" w14:textId="77777777" w:rsidR="00160338" w:rsidRPr="0065554C" w:rsidRDefault="00160338" w:rsidP="00160338">
      <w:pPr>
        <w:pStyle w:val="Anexoencontenido"/>
        <w:tabs>
          <w:tab w:val="clear" w:pos="851"/>
          <w:tab w:val="clear" w:pos="1985"/>
          <w:tab w:val="left" w:pos="709"/>
        </w:tabs>
        <w:spacing w:before="120"/>
        <w:ind w:left="709" w:hanging="709"/>
        <w:rPr>
          <w:b w:val="0"/>
          <w:sz w:val="20"/>
          <w:szCs w:val="20"/>
        </w:rPr>
      </w:pPr>
      <w:r w:rsidRPr="0065554C">
        <w:rPr>
          <w:b w:val="0"/>
          <w:sz w:val="20"/>
          <w:szCs w:val="20"/>
        </w:rPr>
        <w:tab/>
        <w:t>Referido en el numeral 4.2.</w:t>
      </w:r>
      <w:r w:rsidR="003A3BF2" w:rsidRPr="0065554C">
        <w:rPr>
          <w:b w:val="0"/>
          <w:sz w:val="20"/>
          <w:szCs w:val="20"/>
        </w:rPr>
        <w:t>3</w:t>
      </w:r>
      <w:r w:rsidR="002621C1" w:rsidRPr="0065554C">
        <w:rPr>
          <w:b w:val="0"/>
          <w:sz w:val="20"/>
          <w:szCs w:val="20"/>
        </w:rPr>
        <w:t>(e)</w:t>
      </w:r>
      <w:r w:rsidR="000E31D0" w:rsidRPr="0065554C">
        <w:rPr>
          <w:b w:val="0"/>
          <w:sz w:val="20"/>
          <w:szCs w:val="20"/>
        </w:rPr>
        <w:t>, numeral 12 del Anexo IV.1</w:t>
      </w:r>
      <w:r w:rsidR="007D24A7" w:rsidRPr="0065554C">
        <w:rPr>
          <w:b w:val="0"/>
          <w:sz w:val="20"/>
          <w:szCs w:val="20"/>
        </w:rPr>
        <w:t>.</w:t>
      </w:r>
    </w:p>
    <w:p w14:paraId="5832F867" w14:textId="77777777" w:rsidR="00676BFE" w:rsidRPr="0065554C" w:rsidRDefault="001506BA" w:rsidP="00676BFE">
      <w:pPr>
        <w:pStyle w:val="Anexoencontenido"/>
        <w:tabs>
          <w:tab w:val="clear" w:pos="851"/>
          <w:tab w:val="clear" w:pos="1985"/>
          <w:tab w:val="left" w:pos="709"/>
        </w:tabs>
        <w:spacing w:before="120"/>
        <w:ind w:left="709" w:hanging="709"/>
      </w:pPr>
      <w:r w:rsidRPr="0065554C">
        <w:t>IV.9 Formato</w:t>
      </w:r>
      <w:r w:rsidR="00676BFE" w:rsidRPr="0065554C">
        <w:t xml:space="preserve"> </w:t>
      </w:r>
      <w:r w:rsidR="0069334F" w:rsidRPr="0065554C">
        <w:t xml:space="preserve">del Comprador </w:t>
      </w:r>
      <w:r w:rsidR="00676BFE" w:rsidRPr="0065554C">
        <w:t xml:space="preserve">para la Aceptación de uso de medios electrónicos de comunicación </w:t>
      </w:r>
    </w:p>
    <w:p w14:paraId="3670660E" w14:textId="77777777" w:rsidR="00676BFE" w:rsidRPr="0065554C" w:rsidRDefault="00676BFE" w:rsidP="00676BFE">
      <w:pPr>
        <w:pStyle w:val="Anexoencontenido"/>
        <w:tabs>
          <w:tab w:val="clear" w:pos="851"/>
          <w:tab w:val="clear" w:pos="1985"/>
          <w:tab w:val="left" w:pos="709"/>
        </w:tabs>
        <w:spacing w:before="120"/>
        <w:ind w:left="709" w:hanging="709"/>
        <w:rPr>
          <w:b w:val="0"/>
          <w:sz w:val="20"/>
          <w:szCs w:val="20"/>
        </w:rPr>
      </w:pPr>
      <w:r w:rsidRPr="0065554C">
        <w:rPr>
          <w:sz w:val="20"/>
          <w:szCs w:val="20"/>
        </w:rPr>
        <w:lastRenderedPageBreak/>
        <w:tab/>
      </w:r>
      <w:r w:rsidRPr="0065554C">
        <w:rPr>
          <w:b w:val="0"/>
          <w:sz w:val="20"/>
          <w:szCs w:val="20"/>
        </w:rPr>
        <w:t>Referido</w:t>
      </w:r>
      <w:r w:rsidR="00B46DFB" w:rsidRPr="0065554C">
        <w:rPr>
          <w:b w:val="0"/>
          <w:sz w:val="20"/>
          <w:szCs w:val="20"/>
        </w:rPr>
        <w:t xml:space="preserve"> en el numeral 4.2.3(</w:t>
      </w:r>
      <w:r w:rsidR="00D07DE9" w:rsidRPr="0065554C">
        <w:rPr>
          <w:b w:val="0"/>
          <w:sz w:val="20"/>
          <w:szCs w:val="20"/>
        </w:rPr>
        <w:t>f</w:t>
      </w:r>
      <w:r w:rsidR="00B46DFB" w:rsidRPr="0065554C">
        <w:rPr>
          <w:b w:val="0"/>
          <w:sz w:val="20"/>
          <w:szCs w:val="20"/>
        </w:rPr>
        <w:t>)</w:t>
      </w:r>
      <w:r w:rsidR="000E31D0" w:rsidRPr="0065554C">
        <w:rPr>
          <w:b w:val="0"/>
          <w:sz w:val="20"/>
          <w:szCs w:val="20"/>
        </w:rPr>
        <w:t>, numeral 13 del Anexo IV.1</w:t>
      </w:r>
      <w:r w:rsidRPr="0065554C">
        <w:rPr>
          <w:b w:val="0"/>
          <w:sz w:val="20"/>
          <w:szCs w:val="20"/>
        </w:rPr>
        <w:t xml:space="preserve"> </w:t>
      </w:r>
    </w:p>
    <w:p w14:paraId="1107EA60" w14:textId="77777777" w:rsidR="00676BFE" w:rsidRPr="0065554C" w:rsidRDefault="00676BFE" w:rsidP="002513C9">
      <w:pPr>
        <w:pStyle w:val="Anexoencontenido"/>
        <w:tabs>
          <w:tab w:val="clear" w:pos="851"/>
          <w:tab w:val="clear" w:pos="1985"/>
          <w:tab w:val="left" w:pos="709"/>
        </w:tabs>
        <w:spacing w:before="120"/>
        <w:ind w:left="709" w:hanging="709"/>
        <w:rPr>
          <w:b w:val="0"/>
          <w:sz w:val="20"/>
          <w:szCs w:val="20"/>
        </w:rPr>
      </w:pPr>
    </w:p>
    <w:p w14:paraId="77B71CB2" w14:textId="77777777" w:rsidR="00160338" w:rsidRPr="0065554C" w:rsidRDefault="00160338" w:rsidP="00160338">
      <w:pPr>
        <w:pStyle w:val="Anexoencontenido"/>
        <w:tabs>
          <w:tab w:val="clear" w:pos="851"/>
          <w:tab w:val="clear" w:pos="1985"/>
          <w:tab w:val="left" w:pos="709"/>
        </w:tabs>
        <w:spacing w:before="120"/>
        <w:ind w:left="709" w:hanging="709"/>
      </w:pPr>
      <w:r w:rsidRPr="0065554C">
        <w:t>V.1</w:t>
      </w:r>
      <w:r w:rsidRPr="0065554C">
        <w:tab/>
      </w:r>
      <w:r w:rsidR="00D07DE9" w:rsidRPr="0065554C">
        <w:t>D</w:t>
      </w:r>
      <w:r w:rsidRPr="0065554C">
        <w:t>ocumentación para acreditar capacidad legal, financiera, y técnica y de ejecución, en la precalificación de Ofertas de Venta</w:t>
      </w:r>
    </w:p>
    <w:p w14:paraId="46D4BEDE" w14:textId="77777777" w:rsidR="00160338" w:rsidRPr="0065554C" w:rsidRDefault="00160338" w:rsidP="00160338">
      <w:pPr>
        <w:pStyle w:val="Contenidodeanexo"/>
      </w:pPr>
      <w:r w:rsidRPr="0065554C">
        <w:tab/>
        <w:t>Referido en los numerales 5.2.2. y 5.3.</w:t>
      </w:r>
      <w:r w:rsidR="003A3BF2" w:rsidRPr="0065554C">
        <w:t>2</w:t>
      </w:r>
      <w:r w:rsidRPr="0065554C">
        <w:t>, 6.1.5</w:t>
      </w:r>
      <w:r w:rsidR="005955DA" w:rsidRPr="0065554C">
        <w:t>(a)(ii)</w:t>
      </w:r>
      <w:r w:rsidR="00E90EA3" w:rsidRPr="0065554C">
        <w:t>(</w:t>
      </w:r>
      <w:r w:rsidR="005955DA" w:rsidRPr="0065554C">
        <w:t>B</w:t>
      </w:r>
      <w:r w:rsidR="00E90EA3" w:rsidRPr="0065554C">
        <w:t>)</w:t>
      </w:r>
      <w:r w:rsidR="007D24A7" w:rsidRPr="0065554C">
        <w:t>.</w:t>
      </w:r>
    </w:p>
    <w:p w14:paraId="6AAB1B32" w14:textId="77777777" w:rsidR="00160338" w:rsidRPr="0065554C" w:rsidRDefault="00160338" w:rsidP="00160338">
      <w:pPr>
        <w:pStyle w:val="Contenidodeanexo"/>
        <w:rPr>
          <w:b/>
          <w:sz w:val="22"/>
          <w:szCs w:val="22"/>
        </w:rPr>
      </w:pPr>
      <w:r w:rsidRPr="0065554C">
        <w:rPr>
          <w:b/>
          <w:sz w:val="22"/>
        </w:rPr>
        <w:t>V.2</w:t>
      </w:r>
      <w:r w:rsidRPr="0065554C">
        <w:rPr>
          <w:b/>
        </w:rPr>
        <w:tab/>
      </w:r>
      <w:r w:rsidRPr="0065554C">
        <w:rPr>
          <w:b/>
          <w:sz w:val="22"/>
          <w:szCs w:val="22"/>
        </w:rPr>
        <w:t>Formato para acreditar la Solvencia Moral</w:t>
      </w:r>
    </w:p>
    <w:p w14:paraId="413F311E" w14:textId="77777777" w:rsidR="00160338" w:rsidRPr="0065554C" w:rsidRDefault="00160338" w:rsidP="00160338">
      <w:pPr>
        <w:pStyle w:val="Contenidodeanexo"/>
      </w:pPr>
      <w:r w:rsidRPr="0065554C">
        <w:tab/>
        <w:t xml:space="preserve">Referido en el numeral 5.2.2(a) y numeral </w:t>
      </w:r>
      <w:r w:rsidR="003D25FE" w:rsidRPr="0065554C">
        <w:t>7</w:t>
      </w:r>
      <w:r w:rsidRPr="0065554C">
        <w:t xml:space="preserve"> del Anexo V.1.</w:t>
      </w:r>
    </w:p>
    <w:p w14:paraId="304C3194" w14:textId="77777777" w:rsidR="00160338" w:rsidRPr="0065554C" w:rsidRDefault="00160338" w:rsidP="00160338">
      <w:pPr>
        <w:pStyle w:val="Anexoencontenido"/>
        <w:tabs>
          <w:tab w:val="clear" w:pos="851"/>
          <w:tab w:val="left" w:pos="709"/>
          <w:tab w:val="left" w:pos="2552"/>
        </w:tabs>
        <w:spacing w:before="120"/>
        <w:ind w:left="709" w:hanging="709"/>
      </w:pPr>
      <w:r w:rsidRPr="0065554C">
        <w:t>V.3</w:t>
      </w:r>
      <w:r w:rsidRPr="0065554C">
        <w:tab/>
        <w:t>Formato para acreditar que la Oferta de Venta es vinculante e irrevocable</w:t>
      </w:r>
    </w:p>
    <w:p w14:paraId="7616C0E5" w14:textId="77777777" w:rsidR="00160338" w:rsidRPr="0065554C" w:rsidRDefault="00160338" w:rsidP="00160338">
      <w:pPr>
        <w:pStyle w:val="Contenidodeanexo"/>
      </w:pPr>
      <w:r w:rsidRPr="0065554C">
        <w:tab/>
        <w:t xml:space="preserve">Referido en el numeral 5.2.2 (b) y numeral </w:t>
      </w:r>
      <w:r w:rsidR="003D25FE" w:rsidRPr="0065554C">
        <w:t>8</w:t>
      </w:r>
      <w:r w:rsidRPr="0065554C">
        <w:t xml:space="preserve"> del Anexo V.1.</w:t>
      </w:r>
    </w:p>
    <w:p w14:paraId="61F311FE" w14:textId="77777777" w:rsidR="00160338" w:rsidRPr="0065554C" w:rsidRDefault="00160338" w:rsidP="00160338">
      <w:pPr>
        <w:pStyle w:val="Anexoencontenido"/>
        <w:tabs>
          <w:tab w:val="clear" w:pos="851"/>
          <w:tab w:val="left" w:pos="709"/>
          <w:tab w:val="left" w:pos="2552"/>
        </w:tabs>
        <w:spacing w:before="120"/>
        <w:ind w:left="709" w:hanging="709"/>
      </w:pPr>
      <w:r w:rsidRPr="0065554C">
        <w:t>V.4</w:t>
      </w:r>
      <w:r w:rsidRPr="0065554C">
        <w:tab/>
        <w:t>Formato para el compromiso de suscribir o causar que se suscriba el Contrato en caso de resultar asignatario del mismo</w:t>
      </w:r>
    </w:p>
    <w:p w14:paraId="45062067" w14:textId="77777777" w:rsidR="00160338" w:rsidRPr="0065554C" w:rsidRDefault="00160338" w:rsidP="00160338">
      <w:pPr>
        <w:pStyle w:val="Contenidodeanexo"/>
      </w:pPr>
      <w:r w:rsidRPr="0065554C">
        <w:tab/>
        <w:t xml:space="preserve">Referido en el numeral 5.2.2(c) y numeral </w:t>
      </w:r>
      <w:r w:rsidR="003D25FE" w:rsidRPr="0065554C">
        <w:t>9</w:t>
      </w:r>
      <w:r w:rsidRPr="0065554C">
        <w:t xml:space="preserve"> del Anexo V.1.</w:t>
      </w:r>
    </w:p>
    <w:p w14:paraId="1715F52C" w14:textId="77777777" w:rsidR="00160338" w:rsidRPr="0065554C" w:rsidRDefault="00160338" w:rsidP="00160338">
      <w:pPr>
        <w:pStyle w:val="Anexoencontenido"/>
        <w:tabs>
          <w:tab w:val="clear" w:pos="851"/>
          <w:tab w:val="left" w:pos="709"/>
          <w:tab w:val="left" w:pos="2552"/>
        </w:tabs>
        <w:spacing w:before="120"/>
        <w:ind w:left="709" w:hanging="709"/>
      </w:pPr>
      <w:r w:rsidRPr="0065554C">
        <w:t>V.5</w:t>
      </w:r>
      <w:r w:rsidRPr="0065554C">
        <w:tab/>
        <w:t>Formato para la aceptación de la normatividad aplicable</w:t>
      </w:r>
    </w:p>
    <w:p w14:paraId="406B6616" w14:textId="77777777" w:rsidR="00160338" w:rsidRPr="0065554C" w:rsidRDefault="00160338" w:rsidP="00160338">
      <w:pPr>
        <w:pStyle w:val="Contenidodeanexo"/>
      </w:pPr>
      <w:r w:rsidRPr="0065554C">
        <w:tab/>
        <w:t xml:space="preserve">Referido en el numeral 5.2.2(d) y numeral </w:t>
      </w:r>
      <w:r w:rsidR="003D25FE" w:rsidRPr="0065554C">
        <w:t>10</w:t>
      </w:r>
      <w:r w:rsidRPr="0065554C">
        <w:t xml:space="preserve"> del Anexo V.1.</w:t>
      </w:r>
    </w:p>
    <w:p w14:paraId="7338304F" w14:textId="77777777" w:rsidR="00D07DE9" w:rsidRPr="0065554C" w:rsidRDefault="00160338" w:rsidP="00D07DE9">
      <w:pPr>
        <w:pStyle w:val="Anexoencontenido"/>
        <w:tabs>
          <w:tab w:val="clear" w:pos="851"/>
          <w:tab w:val="clear" w:pos="1985"/>
          <w:tab w:val="left" w:pos="709"/>
        </w:tabs>
        <w:spacing w:before="120"/>
        <w:ind w:left="709" w:hanging="709"/>
      </w:pPr>
      <w:r w:rsidRPr="0065554C">
        <w:t>V.6</w:t>
      </w:r>
      <w:r w:rsidRPr="0065554C">
        <w:tab/>
      </w:r>
      <w:r w:rsidR="00D07DE9" w:rsidRPr="0065554C">
        <w:t xml:space="preserve"> Formato para la solicitud de precalificación de Ofertas de Venta</w:t>
      </w:r>
    </w:p>
    <w:p w14:paraId="4DA22A21" w14:textId="77777777" w:rsidR="00D07DE9" w:rsidRPr="0065554C" w:rsidRDefault="00D07DE9" w:rsidP="001506BA">
      <w:pPr>
        <w:pStyle w:val="Anexoencontenido"/>
        <w:tabs>
          <w:tab w:val="clear" w:pos="851"/>
          <w:tab w:val="left" w:pos="709"/>
          <w:tab w:val="left" w:pos="2552"/>
        </w:tabs>
        <w:spacing w:before="120"/>
        <w:ind w:left="709" w:hanging="709"/>
        <w:rPr>
          <w:b w:val="0"/>
        </w:rPr>
      </w:pPr>
      <w:r w:rsidRPr="0065554C">
        <w:t xml:space="preserve"> </w:t>
      </w:r>
      <w:r w:rsidRPr="0065554C">
        <w:tab/>
        <w:t xml:space="preserve"> </w:t>
      </w:r>
      <w:r w:rsidRPr="0065554C">
        <w:rPr>
          <w:b w:val="0"/>
        </w:rPr>
        <w:t xml:space="preserve">Referido en </w:t>
      </w:r>
      <w:r w:rsidR="00E90EA3" w:rsidRPr="0065554C">
        <w:rPr>
          <w:b w:val="0"/>
        </w:rPr>
        <w:t>los</w:t>
      </w:r>
      <w:r w:rsidRPr="0065554C">
        <w:rPr>
          <w:b w:val="0"/>
        </w:rPr>
        <w:t xml:space="preserve"> numeral</w:t>
      </w:r>
      <w:r w:rsidR="00E90EA3" w:rsidRPr="0065554C">
        <w:rPr>
          <w:b w:val="0"/>
        </w:rPr>
        <w:t>es</w:t>
      </w:r>
      <w:r w:rsidRPr="0065554C">
        <w:rPr>
          <w:b w:val="0"/>
        </w:rPr>
        <w:t xml:space="preserve"> </w:t>
      </w:r>
      <w:r w:rsidR="00AE4CCB" w:rsidRPr="0065554C">
        <w:rPr>
          <w:b w:val="0"/>
        </w:rPr>
        <w:t xml:space="preserve">5.2.2 (e) </w:t>
      </w:r>
      <w:r w:rsidR="00E90EA3" w:rsidRPr="0065554C">
        <w:rPr>
          <w:b w:val="0"/>
        </w:rPr>
        <w:t>y</w:t>
      </w:r>
      <w:r w:rsidR="00AE4CCB" w:rsidRPr="0065554C">
        <w:rPr>
          <w:b w:val="0"/>
        </w:rPr>
        <w:t xml:space="preserve"> </w:t>
      </w:r>
      <w:r w:rsidRPr="0065554C">
        <w:rPr>
          <w:b w:val="0"/>
        </w:rPr>
        <w:t>5.3.3</w:t>
      </w:r>
    </w:p>
    <w:p w14:paraId="61370F53" w14:textId="77777777" w:rsidR="00160338" w:rsidRPr="0065554C" w:rsidRDefault="00160338" w:rsidP="00160338">
      <w:pPr>
        <w:pStyle w:val="Anexoencontenido"/>
        <w:tabs>
          <w:tab w:val="clear" w:pos="851"/>
          <w:tab w:val="left" w:pos="709"/>
          <w:tab w:val="left" w:pos="2552"/>
        </w:tabs>
        <w:spacing w:before="120"/>
        <w:ind w:left="709" w:hanging="709"/>
      </w:pPr>
      <w:r w:rsidRPr="0065554C">
        <w:t>V.7</w:t>
      </w:r>
      <w:r w:rsidRPr="0065554C">
        <w:tab/>
        <w:t>Formato para acreditar que la Oferta de Venta es autónoma e independiente a la de otros Licitantes</w:t>
      </w:r>
    </w:p>
    <w:p w14:paraId="1853CD1B" w14:textId="77777777" w:rsidR="00160338" w:rsidRPr="0065554C" w:rsidRDefault="00160338" w:rsidP="00160338">
      <w:pPr>
        <w:pStyle w:val="Contenidodeanexo"/>
      </w:pPr>
      <w:r w:rsidRPr="0065554C">
        <w:tab/>
        <w:t>Referido en el numeral 5.2.2(f) y numeral 1</w:t>
      </w:r>
      <w:r w:rsidR="003D25FE" w:rsidRPr="0065554C">
        <w:t>2</w:t>
      </w:r>
      <w:r w:rsidRPr="0065554C">
        <w:t xml:space="preserve"> del Anexo V.1.</w:t>
      </w:r>
    </w:p>
    <w:p w14:paraId="61F03223" w14:textId="77777777" w:rsidR="00366A2B" w:rsidRPr="0065554C" w:rsidRDefault="00366A2B" w:rsidP="00366A2B">
      <w:pPr>
        <w:pStyle w:val="Anexoencontenido"/>
        <w:tabs>
          <w:tab w:val="clear" w:pos="851"/>
          <w:tab w:val="left" w:pos="709"/>
          <w:tab w:val="left" w:pos="2552"/>
        </w:tabs>
        <w:spacing w:before="120"/>
        <w:ind w:left="709" w:hanging="709"/>
      </w:pPr>
      <w:r w:rsidRPr="0065554C">
        <w:t>V.8a</w:t>
      </w:r>
      <w:r w:rsidRPr="0065554C">
        <w:tab/>
        <w:t>Formato para acreditar capacidad o experiencia financiera a través de proyectos de inversión de generación de energía eléctrica.</w:t>
      </w:r>
    </w:p>
    <w:p w14:paraId="56C064CC" w14:textId="77777777" w:rsidR="00366A2B" w:rsidRPr="0065554C" w:rsidRDefault="00366A2B" w:rsidP="00366A2B">
      <w:pPr>
        <w:pStyle w:val="Contenidodeanexo"/>
      </w:pPr>
      <w:r w:rsidRPr="0065554C">
        <w:tab/>
        <w:t>Referido en el numeral 5.2.2(</w:t>
      </w:r>
      <w:r w:rsidR="00AE4CCB" w:rsidRPr="0065554C">
        <w:t>g</w:t>
      </w:r>
      <w:r w:rsidRPr="0065554C">
        <w:t>) y numeral 13 del Anexo V.1.</w:t>
      </w:r>
    </w:p>
    <w:p w14:paraId="2DE7B828" w14:textId="77777777" w:rsidR="00366A2B" w:rsidRPr="0065554C" w:rsidRDefault="00366A2B" w:rsidP="00366A2B">
      <w:pPr>
        <w:pStyle w:val="Contenidodeanexo"/>
        <w:rPr>
          <w:b/>
          <w:sz w:val="22"/>
        </w:rPr>
      </w:pPr>
      <w:r w:rsidRPr="0065554C">
        <w:rPr>
          <w:b/>
          <w:sz w:val="22"/>
        </w:rPr>
        <w:t>V.8b</w:t>
      </w:r>
      <w:r w:rsidRPr="0065554C">
        <w:rPr>
          <w:b/>
          <w:sz w:val="22"/>
        </w:rPr>
        <w:tab/>
        <w:t>Formato para acreditar capacidad o experiencia financiera a través de proyectos de inversión productiva.</w:t>
      </w:r>
    </w:p>
    <w:p w14:paraId="2D90AC67" w14:textId="77777777" w:rsidR="00366A2B" w:rsidRPr="0065554C" w:rsidRDefault="00366A2B" w:rsidP="00366A2B">
      <w:pPr>
        <w:pStyle w:val="Contenidodeanexo"/>
        <w:rPr>
          <w:b/>
          <w:sz w:val="22"/>
        </w:rPr>
      </w:pPr>
      <w:r w:rsidRPr="0065554C">
        <w:rPr>
          <w:b/>
          <w:sz w:val="22"/>
        </w:rPr>
        <w:tab/>
      </w:r>
      <w:r w:rsidRPr="0065554C">
        <w:t>Referido en el numeral 5.2.2(</w:t>
      </w:r>
      <w:r w:rsidR="00AE4CCB" w:rsidRPr="0065554C">
        <w:t>g</w:t>
      </w:r>
      <w:r w:rsidRPr="0065554C">
        <w:t>) y numeral 13 del Anexo V.1.</w:t>
      </w:r>
    </w:p>
    <w:p w14:paraId="2232A50A" w14:textId="77777777" w:rsidR="00160338" w:rsidRPr="0065554C" w:rsidRDefault="00160338" w:rsidP="00160338">
      <w:pPr>
        <w:pStyle w:val="Anexoencontenido"/>
        <w:tabs>
          <w:tab w:val="clear" w:pos="851"/>
          <w:tab w:val="left" w:pos="709"/>
          <w:tab w:val="left" w:pos="2552"/>
        </w:tabs>
        <w:spacing w:before="120"/>
        <w:ind w:left="709" w:hanging="709"/>
      </w:pPr>
      <w:r w:rsidRPr="0065554C">
        <w:t>V.9</w:t>
      </w:r>
      <w:r w:rsidRPr="0065554C">
        <w:tab/>
        <w:t>Formato para acreditar la vinculación jurídica- experiencia financiera</w:t>
      </w:r>
    </w:p>
    <w:p w14:paraId="0BF23E43" w14:textId="77777777" w:rsidR="00160338" w:rsidRPr="0065554C" w:rsidRDefault="00160338" w:rsidP="00160338">
      <w:pPr>
        <w:pStyle w:val="Contenidodeanexo"/>
      </w:pPr>
      <w:r w:rsidRPr="0065554C">
        <w:tab/>
        <w:t>Referido en el numeral 5.2.2(</w:t>
      </w:r>
      <w:r w:rsidR="00AE4CCB" w:rsidRPr="0065554C">
        <w:t>h</w:t>
      </w:r>
      <w:r w:rsidRPr="0065554C">
        <w:t>) y numeral 1</w:t>
      </w:r>
      <w:r w:rsidR="003D25FE" w:rsidRPr="0065554C">
        <w:t>4</w:t>
      </w:r>
      <w:r w:rsidRPr="0065554C">
        <w:t xml:space="preserve"> del Anexo V.1.</w:t>
      </w:r>
    </w:p>
    <w:p w14:paraId="674B4AB5" w14:textId="77777777" w:rsidR="00160338" w:rsidRPr="0065554C" w:rsidRDefault="00160338" w:rsidP="00160338">
      <w:pPr>
        <w:pStyle w:val="Anexoencontenido"/>
        <w:tabs>
          <w:tab w:val="clear" w:pos="851"/>
          <w:tab w:val="left" w:pos="709"/>
          <w:tab w:val="left" w:pos="2552"/>
        </w:tabs>
        <w:spacing w:before="120"/>
        <w:ind w:left="709" w:hanging="709"/>
      </w:pPr>
      <w:r w:rsidRPr="0065554C">
        <w:t>V.10</w:t>
      </w:r>
      <w:r w:rsidRPr="0065554C">
        <w:tab/>
        <w:t>Formato para definir la información básica de ingeniería para la interconexión de Centrales Eléctricas</w:t>
      </w:r>
    </w:p>
    <w:p w14:paraId="4E7DEEB3" w14:textId="77777777" w:rsidR="00160338" w:rsidRPr="0065554C" w:rsidRDefault="00160338" w:rsidP="00160338">
      <w:pPr>
        <w:pStyle w:val="Contenidodeanexo"/>
      </w:pPr>
      <w:r w:rsidRPr="0065554C">
        <w:tab/>
        <w:t xml:space="preserve">Referido en </w:t>
      </w:r>
      <w:r w:rsidR="00F97DB4" w:rsidRPr="0065554C">
        <w:t>los</w:t>
      </w:r>
      <w:r w:rsidRPr="0065554C">
        <w:t xml:space="preserve"> numeral</w:t>
      </w:r>
      <w:r w:rsidR="00F97DB4" w:rsidRPr="0065554C">
        <w:t>es</w:t>
      </w:r>
      <w:r w:rsidRPr="0065554C">
        <w:t xml:space="preserve"> </w:t>
      </w:r>
      <w:r w:rsidR="00AE4CCB" w:rsidRPr="0065554C">
        <w:t xml:space="preserve">5.2.1 (d) (vi), </w:t>
      </w:r>
      <w:r w:rsidRPr="0065554C">
        <w:t>5.2.2(i)</w:t>
      </w:r>
      <w:r w:rsidR="00F97DB4" w:rsidRPr="0065554C">
        <w:t>, 5.2.3, 5.8.5</w:t>
      </w:r>
      <w:r w:rsidRPr="0065554C">
        <w:t xml:space="preserve"> y numeral</w:t>
      </w:r>
      <w:r w:rsidR="00AE4CCB" w:rsidRPr="0065554C">
        <w:t>es</w:t>
      </w:r>
      <w:r w:rsidRPr="0065554C">
        <w:t xml:space="preserve"> 1</w:t>
      </w:r>
      <w:r w:rsidR="003D25FE" w:rsidRPr="0065554C">
        <w:t>5</w:t>
      </w:r>
      <w:r w:rsidR="00AE4CCB" w:rsidRPr="0065554C">
        <w:t xml:space="preserve"> y 17</w:t>
      </w:r>
      <w:r w:rsidRPr="0065554C">
        <w:t xml:space="preserve"> del Anexo V.1.</w:t>
      </w:r>
    </w:p>
    <w:p w14:paraId="503B26E9" w14:textId="77777777" w:rsidR="00160338" w:rsidRPr="0065554C" w:rsidRDefault="00160338" w:rsidP="00160338">
      <w:pPr>
        <w:pStyle w:val="Anexoencontenido"/>
        <w:tabs>
          <w:tab w:val="clear" w:pos="851"/>
          <w:tab w:val="left" w:pos="709"/>
          <w:tab w:val="left" w:pos="2552"/>
        </w:tabs>
        <w:spacing w:before="120"/>
        <w:ind w:left="709" w:hanging="709"/>
      </w:pPr>
      <w:r w:rsidRPr="0065554C">
        <w:t>V.11</w:t>
      </w:r>
      <w:r w:rsidRPr="0065554C">
        <w:tab/>
        <w:t>Formato para acreditar la autorización del propietario de la Central Eléctrica</w:t>
      </w:r>
    </w:p>
    <w:p w14:paraId="0850A957" w14:textId="77777777" w:rsidR="00160338" w:rsidRPr="0065554C" w:rsidRDefault="00160338" w:rsidP="00160338">
      <w:pPr>
        <w:pStyle w:val="Contenidodeanexo"/>
      </w:pPr>
      <w:r w:rsidRPr="0065554C">
        <w:tab/>
        <w:t>Referido en el numeral 5.2.2(j) y numeral 1</w:t>
      </w:r>
      <w:r w:rsidR="003D25FE" w:rsidRPr="0065554C">
        <w:t>6</w:t>
      </w:r>
      <w:r w:rsidRPr="0065554C">
        <w:t xml:space="preserve"> del Anexo V.1.</w:t>
      </w:r>
    </w:p>
    <w:p w14:paraId="197D2947" w14:textId="77777777" w:rsidR="00160338" w:rsidRPr="0065554C" w:rsidRDefault="00160338" w:rsidP="00160338">
      <w:pPr>
        <w:pStyle w:val="Anexoencontenido"/>
        <w:tabs>
          <w:tab w:val="clear" w:pos="851"/>
          <w:tab w:val="left" w:pos="709"/>
          <w:tab w:val="left" w:pos="2552"/>
        </w:tabs>
        <w:spacing w:before="120"/>
        <w:ind w:left="709" w:hanging="709"/>
      </w:pPr>
      <w:r w:rsidRPr="0065554C">
        <w:t>V.12</w:t>
      </w:r>
      <w:r w:rsidRPr="0065554C">
        <w:tab/>
        <w:t>Formato para la declaración de compromisos previos</w:t>
      </w:r>
    </w:p>
    <w:p w14:paraId="71A544E2" w14:textId="77777777" w:rsidR="00160338" w:rsidRPr="0065554C" w:rsidRDefault="00160338" w:rsidP="00160338">
      <w:pPr>
        <w:pStyle w:val="Contenidodeanexo"/>
      </w:pPr>
      <w:r w:rsidRPr="0065554C">
        <w:tab/>
        <w:t>Referido en el numeral 5.2.2(</w:t>
      </w:r>
      <w:r w:rsidR="003D25FE" w:rsidRPr="0065554C">
        <w:t>k</w:t>
      </w:r>
      <w:r w:rsidRPr="0065554C">
        <w:t>)</w:t>
      </w:r>
      <w:r w:rsidR="00F97DB4" w:rsidRPr="0065554C">
        <w:t>, 5.3.4(d)</w:t>
      </w:r>
      <w:r w:rsidR="0057411E" w:rsidRPr="0065554C">
        <w:t>(i)(A)(I), (B)(I), (ii)(A), (iii)(A)</w:t>
      </w:r>
      <w:r w:rsidRPr="0065554C">
        <w:t xml:space="preserve"> y numeral 1</w:t>
      </w:r>
      <w:r w:rsidR="007911A2" w:rsidRPr="0065554C">
        <w:t>8</w:t>
      </w:r>
      <w:r w:rsidRPr="0065554C">
        <w:t xml:space="preserve"> del Anexo V.1.</w:t>
      </w:r>
    </w:p>
    <w:p w14:paraId="6C5085DD" w14:textId="77777777" w:rsidR="00160338" w:rsidRPr="0065554C" w:rsidRDefault="00160338" w:rsidP="00160338">
      <w:pPr>
        <w:pStyle w:val="Anexoencontenido"/>
        <w:tabs>
          <w:tab w:val="clear" w:pos="851"/>
          <w:tab w:val="left" w:pos="709"/>
          <w:tab w:val="left" w:pos="2552"/>
        </w:tabs>
        <w:spacing w:before="120"/>
        <w:ind w:left="709" w:hanging="709"/>
      </w:pPr>
      <w:r w:rsidRPr="0065554C">
        <w:t>V.</w:t>
      </w:r>
      <w:r w:rsidR="001C0D14" w:rsidRPr="0065554C">
        <w:t xml:space="preserve"> </w:t>
      </w:r>
      <w:r w:rsidR="000476C8" w:rsidRPr="0065554C">
        <w:t>13</w:t>
      </w:r>
      <w:r w:rsidRPr="0065554C">
        <w:tab/>
        <w:t>Formato para la declaración de no compromisos previos</w:t>
      </w:r>
    </w:p>
    <w:p w14:paraId="682C618C" w14:textId="77777777" w:rsidR="00160338" w:rsidRPr="0065554C" w:rsidRDefault="00160338" w:rsidP="00160338">
      <w:pPr>
        <w:pStyle w:val="Contenidodeanexo"/>
      </w:pPr>
      <w:r w:rsidRPr="0065554C">
        <w:tab/>
        <w:t>Referido en el numeral 5.2.2(</w:t>
      </w:r>
      <w:r w:rsidR="003D25FE" w:rsidRPr="0065554C">
        <w:t>l</w:t>
      </w:r>
      <w:r w:rsidRPr="0065554C">
        <w:t>) y numeral 1</w:t>
      </w:r>
      <w:r w:rsidR="007911A2" w:rsidRPr="0065554C">
        <w:t>8</w:t>
      </w:r>
      <w:r w:rsidRPr="0065554C">
        <w:t xml:space="preserve"> del Anexo V.1.</w:t>
      </w:r>
    </w:p>
    <w:p w14:paraId="09A73837" w14:textId="77777777" w:rsidR="00160338" w:rsidRPr="0065554C" w:rsidRDefault="00160338" w:rsidP="00160338">
      <w:pPr>
        <w:pStyle w:val="Anexoencontenido"/>
        <w:tabs>
          <w:tab w:val="clear" w:pos="851"/>
          <w:tab w:val="left" w:pos="709"/>
          <w:tab w:val="left" w:pos="2552"/>
        </w:tabs>
        <w:spacing w:before="120"/>
        <w:ind w:left="709" w:hanging="709"/>
      </w:pPr>
      <w:r w:rsidRPr="0065554C">
        <w:lastRenderedPageBreak/>
        <w:t>V.</w:t>
      </w:r>
      <w:r w:rsidR="001C0D14" w:rsidRPr="0065554C">
        <w:t xml:space="preserve"> </w:t>
      </w:r>
      <w:r w:rsidRPr="0065554C">
        <w:t>14</w:t>
      </w:r>
      <w:r w:rsidRPr="0065554C">
        <w:tab/>
        <w:t>Formato para el compromiso de ser Participante del Mercado</w:t>
      </w:r>
    </w:p>
    <w:p w14:paraId="6F244F39" w14:textId="77777777" w:rsidR="00160338" w:rsidRPr="0065554C" w:rsidRDefault="00160338" w:rsidP="00160338">
      <w:pPr>
        <w:pStyle w:val="Contenidodeanexo"/>
      </w:pPr>
      <w:r w:rsidRPr="0065554C">
        <w:tab/>
        <w:t>Referido en el numeral 5.2.2(</w:t>
      </w:r>
      <w:r w:rsidR="003D25FE" w:rsidRPr="0065554C">
        <w:t>m</w:t>
      </w:r>
      <w:r w:rsidRPr="0065554C">
        <w:t>) y numeral 1</w:t>
      </w:r>
      <w:r w:rsidR="007911A2" w:rsidRPr="0065554C">
        <w:t>9</w:t>
      </w:r>
      <w:r w:rsidRPr="0065554C">
        <w:t xml:space="preserve"> del Anexo V.1.</w:t>
      </w:r>
    </w:p>
    <w:p w14:paraId="5F003537" w14:textId="77777777" w:rsidR="00160338" w:rsidRPr="0065554C" w:rsidRDefault="00160338" w:rsidP="00160338">
      <w:pPr>
        <w:pStyle w:val="Anexoencontenido"/>
        <w:tabs>
          <w:tab w:val="clear" w:pos="851"/>
          <w:tab w:val="left" w:pos="709"/>
          <w:tab w:val="left" w:pos="2552"/>
        </w:tabs>
        <w:spacing w:before="120"/>
        <w:ind w:left="709" w:hanging="709"/>
      </w:pPr>
      <w:r w:rsidRPr="0065554C">
        <w:t>V.</w:t>
      </w:r>
      <w:r w:rsidR="001C0D14" w:rsidRPr="0065554C">
        <w:t xml:space="preserve"> </w:t>
      </w:r>
      <w:r w:rsidRPr="0065554C">
        <w:t>15</w:t>
      </w:r>
      <w:r w:rsidRPr="0065554C">
        <w:tab/>
        <w:t>Formato para acreditar capacidad o experiencia técnica y de ejecución</w:t>
      </w:r>
    </w:p>
    <w:p w14:paraId="26067465" w14:textId="77777777" w:rsidR="00160338" w:rsidRPr="0065554C" w:rsidRDefault="00160338" w:rsidP="00160338">
      <w:pPr>
        <w:pStyle w:val="Contenidodeanexo"/>
      </w:pPr>
      <w:r w:rsidRPr="0065554C">
        <w:tab/>
        <w:t>Referido en el numeral 5.2.2(</w:t>
      </w:r>
      <w:r w:rsidR="003D25FE" w:rsidRPr="0065554C">
        <w:t>n</w:t>
      </w:r>
      <w:r w:rsidRPr="0065554C">
        <w:t xml:space="preserve">) y numeral </w:t>
      </w:r>
      <w:r w:rsidR="007911A2" w:rsidRPr="0065554C">
        <w:t>20</w:t>
      </w:r>
      <w:r w:rsidRPr="0065554C">
        <w:t xml:space="preserve"> del Anexo V.1.</w:t>
      </w:r>
    </w:p>
    <w:p w14:paraId="60AC125E" w14:textId="77777777" w:rsidR="00160338" w:rsidRPr="0065554C" w:rsidRDefault="00160338" w:rsidP="00160338">
      <w:pPr>
        <w:pStyle w:val="Anexoencontenido"/>
        <w:tabs>
          <w:tab w:val="clear" w:pos="851"/>
          <w:tab w:val="left" w:pos="709"/>
          <w:tab w:val="left" w:pos="2552"/>
        </w:tabs>
        <w:spacing w:before="120"/>
        <w:ind w:left="709" w:hanging="709"/>
      </w:pPr>
      <w:r w:rsidRPr="0065554C">
        <w:t>V.</w:t>
      </w:r>
      <w:r w:rsidR="001C0D14" w:rsidRPr="0065554C">
        <w:t xml:space="preserve"> </w:t>
      </w:r>
      <w:r w:rsidRPr="0065554C">
        <w:t>16</w:t>
      </w:r>
      <w:r w:rsidRPr="0065554C">
        <w:tab/>
        <w:t>Formato para acreditar la vinculación jurídica-experiencia técnica y de ejecución</w:t>
      </w:r>
      <w:r w:rsidRPr="0065554C">
        <w:tab/>
        <w:t xml:space="preserve"> </w:t>
      </w:r>
    </w:p>
    <w:p w14:paraId="44498B85" w14:textId="77777777" w:rsidR="00160338" w:rsidRPr="0065554C" w:rsidRDefault="00160338" w:rsidP="00160338">
      <w:pPr>
        <w:pStyle w:val="Contenidodeanexo"/>
      </w:pPr>
      <w:r w:rsidRPr="0065554C">
        <w:tab/>
        <w:t>Referido en el numeral 5.2.2(</w:t>
      </w:r>
      <w:r w:rsidR="003D25FE" w:rsidRPr="0065554C">
        <w:t>o</w:t>
      </w:r>
      <w:r w:rsidRPr="0065554C">
        <w:t>) y numeral 2</w:t>
      </w:r>
      <w:r w:rsidR="007911A2" w:rsidRPr="0065554C">
        <w:t>2</w:t>
      </w:r>
      <w:r w:rsidRPr="0065554C">
        <w:t xml:space="preserve"> del Anexo V.1.</w:t>
      </w:r>
    </w:p>
    <w:p w14:paraId="547A5252" w14:textId="77777777" w:rsidR="00160338" w:rsidRPr="0065554C" w:rsidRDefault="00160338" w:rsidP="00160338">
      <w:pPr>
        <w:pStyle w:val="Anexoencontenido"/>
        <w:tabs>
          <w:tab w:val="clear" w:pos="851"/>
          <w:tab w:val="left" w:pos="709"/>
          <w:tab w:val="left" w:pos="2552"/>
        </w:tabs>
        <w:spacing w:before="120"/>
        <w:ind w:left="709" w:hanging="709"/>
      </w:pPr>
      <w:r w:rsidRPr="0065554C">
        <w:t>V.</w:t>
      </w:r>
      <w:r w:rsidR="001C0D14" w:rsidRPr="0065554C">
        <w:t xml:space="preserve"> </w:t>
      </w:r>
      <w:r w:rsidRPr="0065554C">
        <w:t>17</w:t>
      </w:r>
      <w:r w:rsidRPr="0065554C">
        <w:tab/>
        <w:t>Formato para obligarse a cumplir con los requerimientos técnicos para la interconexión de Centrales Eléctricas al Sistema Eléctrico Nacional</w:t>
      </w:r>
    </w:p>
    <w:p w14:paraId="73B4E7EE" w14:textId="77777777" w:rsidR="00160338" w:rsidRPr="0065554C" w:rsidRDefault="00160338" w:rsidP="00160338">
      <w:pPr>
        <w:pStyle w:val="Contenidodeanexo"/>
      </w:pPr>
      <w:r w:rsidRPr="0065554C">
        <w:tab/>
        <w:t>Referido en el numeral 5.2.2(</w:t>
      </w:r>
      <w:r w:rsidR="003D25FE" w:rsidRPr="0065554C">
        <w:t>p</w:t>
      </w:r>
      <w:r w:rsidRPr="0065554C">
        <w:t>) y numeral 2</w:t>
      </w:r>
      <w:r w:rsidR="007911A2" w:rsidRPr="0065554C">
        <w:t>3</w:t>
      </w:r>
      <w:r w:rsidRPr="0065554C">
        <w:t xml:space="preserve"> del Anexo V.1.</w:t>
      </w:r>
    </w:p>
    <w:p w14:paraId="7E3294FC" w14:textId="77777777" w:rsidR="00FF7109" w:rsidRPr="0065554C" w:rsidRDefault="00FF7109" w:rsidP="00FF7109">
      <w:pPr>
        <w:pStyle w:val="Anexoencontenido"/>
        <w:tabs>
          <w:tab w:val="clear" w:pos="851"/>
          <w:tab w:val="left" w:pos="709"/>
          <w:tab w:val="left" w:pos="2552"/>
        </w:tabs>
        <w:spacing w:before="120"/>
        <w:ind w:left="709" w:hanging="709"/>
      </w:pPr>
      <w:r w:rsidRPr="0065554C">
        <w:t>V. 18a</w:t>
      </w:r>
      <w:r w:rsidRPr="0065554C">
        <w:tab/>
        <w:t>Formato para el compromiso irrevocable de interconexión</w:t>
      </w:r>
    </w:p>
    <w:p w14:paraId="758A8DBE" w14:textId="77777777" w:rsidR="00FF7109" w:rsidRPr="0065554C" w:rsidRDefault="00FF7109" w:rsidP="00FF7109">
      <w:pPr>
        <w:pStyle w:val="Contenidodeanexo"/>
      </w:pPr>
      <w:r w:rsidRPr="0065554C">
        <w:tab/>
        <w:t>Referido en el numeral 5.2.2(q) y numeral 24 del Anexo V.1.</w:t>
      </w:r>
    </w:p>
    <w:p w14:paraId="5F6C9826" w14:textId="77777777" w:rsidR="00160338" w:rsidRPr="0065554C" w:rsidRDefault="00160338" w:rsidP="00160338">
      <w:pPr>
        <w:pStyle w:val="Anexoencontenido"/>
        <w:tabs>
          <w:tab w:val="clear" w:pos="851"/>
          <w:tab w:val="left" w:pos="709"/>
          <w:tab w:val="left" w:pos="2552"/>
        </w:tabs>
        <w:spacing w:before="120"/>
        <w:ind w:left="709" w:hanging="709"/>
      </w:pPr>
      <w:r w:rsidRPr="0065554C">
        <w:t>V.</w:t>
      </w:r>
      <w:r w:rsidR="001C0D14" w:rsidRPr="0065554C">
        <w:t xml:space="preserve"> </w:t>
      </w:r>
      <w:r w:rsidRPr="0065554C">
        <w:t>18</w:t>
      </w:r>
      <w:r w:rsidR="00FF7109" w:rsidRPr="0065554C">
        <w:t>b</w:t>
      </w:r>
      <w:r w:rsidRPr="0065554C">
        <w:tab/>
        <w:t>Formato para el compromiso irrevocable de interconexión</w:t>
      </w:r>
      <w:r w:rsidR="00433ED0" w:rsidRPr="0065554C">
        <w:t xml:space="preserve"> </w:t>
      </w:r>
      <w:bookmarkStart w:id="1" w:name="_Hlk506314963"/>
      <w:r w:rsidR="00433ED0" w:rsidRPr="0065554C">
        <w:t>observando el principio de Criterio Mínimo de Interconexión</w:t>
      </w:r>
      <w:bookmarkEnd w:id="1"/>
    </w:p>
    <w:p w14:paraId="6415D9D2" w14:textId="77777777" w:rsidR="00160338" w:rsidRPr="0065554C" w:rsidRDefault="00160338" w:rsidP="00160338">
      <w:pPr>
        <w:pStyle w:val="Contenidodeanexo"/>
      </w:pPr>
      <w:r w:rsidRPr="0065554C">
        <w:tab/>
        <w:t>Referido en el numeral 5.2.2(</w:t>
      </w:r>
      <w:r w:rsidR="003D25FE" w:rsidRPr="0065554C">
        <w:t>q</w:t>
      </w:r>
      <w:r w:rsidRPr="0065554C">
        <w:t>) y numeral 2</w:t>
      </w:r>
      <w:r w:rsidR="007911A2" w:rsidRPr="0065554C">
        <w:t>4</w:t>
      </w:r>
      <w:r w:rsidRPr="0065554C">
        <w:t xml:space="preserve"> del Anexo V.1.</w:t>
      </w:r>
    </w:p>
    <w:p w14:paraId="35523C55" w14:textId="77777777" w:rsidR="00433ED0" w:rsidRPr="0065554C" w:rsidRDefault="00433ED0" w:rsidP="00433ED0">
      <w:pPr>
        <w:pStyle w:val="Anexoencontenido"/>
        <w:tabs>
          <w:tab w:val="clear" w:pos="851"/>
          <w:tab w:val="left" w:pos="709"/>
          <w:tab w:val="left" w:pos="2552"/>
        </w:tabs>
        <w:spacing w:before="120"/>
        <w:ind w:left="709" w:hanging="709"/>
      </w:pPr>
      <w:r w:rsidRPr="0065554C">
        <w:t>V. 18</w:t>
      </w:r>
      <w:r w:rsidR="00FF7109" w:rsidRPr="0065554C">
        <w:t>c</w:t>
      </w:r>
      <w:r w:rsidRPr="0065554C">
        <w:tab/>
        <w:t>Formato para el compromiso irrevocable de interconexión observando el principio del Criterio para Garantizar la Disponibilidad de Entrega Física</w:t>
      </w:r>
    </w:p>
    <w:p w14:paraId="2EE16A10" w14:textId="77777777" w:rsidR="00433ED0" w:rsidRPr="0065554C" w:rsidRDefault="00433ED0" w:rsidP="00433ED0">
      <w:pPr>
        <w:pStyle w:val="Contenidodeanexo"/>
      </w:pPr>
      <w:r w:rsidRPr="0065554C">
        <w:tab/>
        <w:t>Referido en el numeral 5.2.2(q) y numeral 24 del Anexo V.1.</w:t>
      </w:r>
    </w:p>
    <w:p w14:paraId="18AEB1D8" w14:textId="77777777" w:rsidR="00676BFE" w:rsidRPr="0065554C" w:rsidRDefault="00676BFE" w:rsidP="00676BFE">
      <w:pPr>
        <w:pStyle w:val="Contenidodeanexo"/>
        <w:rPr>
          <w:rFonts w:cstheme="minorHAnsi"/>
          <w:b/>
          <w:sz w:val="22"/>
          <w:szCs w:val="22"/>
        </w:rPr>
      </w:pPr>
      <w:r w:rsidRPr="0065554C">
        <w:rPr>
          <w:rFonts w:cstheme="minorHAnsi"/>
          <w:b/>
          <w:sz w:val="22"/>
          <w:szCs w:val="22"/>
        </w:rPr>
        <w:t>V.19</w:t>
      </w:r>
      <w:r w:rsidRPr="0065554C">
        <w:rPr>
          <w:rFonts w:cstheme="minorHAnsi"/>
          <w:b/>
          <w:sz w:val="22"/>
          <w:szCs w:val="22"/>
        </w:rPr>
        <w:tab/>
        <w:t xml:space="preserve">Formato para la Aceptación de uso de medios electrónicos de comunicación para </w:t>
      </w:r>
      <w:r w:rsidR="003701ED" w:rsidRPr="0065554C">
        <w:rPr>
          <w:rFonts w:cstheme="minorHAnsi"/>
          <w:b/>
          <w:sz w:val="22"/>
          <w:szCs w:val="22"/>
        </w:rPr>
        <w:t>Licitantes</w:t>
      </w:r>
      <w:r w:rsidR="00674CEF" w:rsidRPr="0065554C">
        <w:rPr>
          <w:rFonts w:cstheme="minorHAnsi"/>
          <w:b/>
          <w:sz w:val="22"/>
          <w:szCs w:val="22"/>
        </w:rPr>
        <w:t xml:space="preserve"> </w:t>
      </w:r>
      <w:r w:rsidRPr="0065554C">
        <w:rPr>
          <w:rFonts w:cstheme="minorHAnsi"/>
          <w:b/>
          <w:sz w:val="22"/>
          <w:szCs w:val="22"/>
        </w:rPr>
        <w:t>en la etapa de Precalificación.</w:t>
      </w:r>
    </w:p>
    <w:p w14:paraId="00E970A2" w14:textId="77777777" w:rsidR="00911BEF" w:rsidRPr="0065554C" w:rsidRDefault="00676BFE" w:rsidP="00911BEF">
      <w:pPr>
        <w:pStyle w:val="Contenidodeanexo"/>
      </w:pPr>
      <w:r w:rsidRPr="0065554C">
        <w:rPr>
          <w:b/>
        </w:rPr>
        <w:tab/>
      </w:r>
      <w:r w:rsidRPr="0065554C">
        <w:t>Referido en los numerales 5.2.1 (c) y 5.2.2 (</w:t>
      </w:r>
      <w:r w:rsidR="00911BEF" w:rsidRPr="0065554C">
        <w:t>r</w:t>
      </w:r>
      <w:r w:rsidRPr="0065554C">
        <w:t xml:space="preserve">) </w:t>
      </w:r>
    </w:p>
    <w:p w14:paraId="16929D11" w14:textId="77777777" w:rsidR="00160338" w:rsidRPr="0065554C" w:rsidRDefault="00160338" w:rsidP="00160338">
      <w:pPr>
        <w:pStyle w:val="Anexoencontenido"/>
        <w:tabs>
          <w:tab w:val="clear" w:pos="851"/>
          <w:tab w:val="clear" w:pos="1985"/>
          <w:tab w:val="left" w:pos="709"/>
        </w:tabs>
        <w:spacing w:before="120"/>
        <w:ind w:left="709" w:hanging="709"/>
      </w:pPr>
      <w:r w:rsidRPr="0065554C">
        <w:t>V.</w:t>
      </w:r>
      <w:r w:rsidR="001C0D14" w:rsidRPr="0065554C">
        <w:t xml:space="preserve"> </w:t>
      </w:r>
      <w:r w:rsidRPr="0065554C">
        <w:t>2</w:t>
      </w:r>
      <w:r w:rsidR="00D07DE9" w:rsidRPr="0065554C">
        <w:t>0</w:t>
      </w:r>
      <w:r w:rsidRPr="0065554C">
        <w:tab/>
        <w:t>Modelo de Garantía de Seriedad</w:t>
      </w:r>
      <w:r w:rsidR="005C0812" w:rsidRPr="0065554C">
        <w:t xml:space="preserve"> para </w:t>
      </w:r>
      <w:r w:rsidR="00E47D1E" w:rsidRPr="0065554C">
        <w:t>Ofertas de Venta</w:t>
      </w:r>
    </w:p>
    <w:p w14:paraId="11A06115" w14:textId="77777777" w:rsidR="00160338" w:rsidRPr="0065554C" w:rsidRDefault="00160338" w:rsidP="00160338">
      <w:pPr>
        <w:pStyle w:val="Contenidodeanexo"/>
      </w:pPr>
      <w:r w:rsidRPr="0065554C">
        <w:tab/>
        <w:t xml:space="preserve">Referido en los numerales </w:t>
      </w:r>
      <w:r w:rsidR="00135501" w:rsidRPr="0065554C">
        <w:t xml:space="preserve">3.10.4, 3.11.4, </w:t>
      </w:r>
      <w:r w:rsidRPr="0065554C">
        <w:t xml:space="preserve">5.5.1, 5.5.3(a), </w:t>
      </w:r>
      <w:r w:rsidR="0001647F" w:rsidRPr="0065554C">
        <w:t xml:space="preserve">5.5.12, </w:t>
      </w:r>
      <w:r w:rsidRPr="0065554C">
        <w:t>5.5.13, 5.5.14</w:t>
      </w:r>
      <w:r w:rsidR="00B855ED" w:rsidRPr="0065554C">
        <w:t>, 7.1.6</w:t>
      </w:r>
      <w:r w:rsidRPr="0065554C">
        <w:t>.</w:t>
      </w:r>
    </w:p>
    <w:p w14:paraId="50B921AE" w14:textId="77777777" w:rsidR="00160338" w:rsidRPr="0065554C" w:rsidRDefault="00160338" w:rsidP="00160338">
      <w:pPr>
        <w:pStyle w:val="Anexoencontenido"/>
        <w:tabs>
          <w:tab w:val="clear" w:pos="851"/>
          <w:tab w:val="clear" w:pos="1985"/>
          <w:tab w:val="left" w:pos="709"/>
        </w:tabs>
        <w:spacing w:before="120"/>
        <w:ind w:left="709" w:hanging="709"/>
      </w:pPr>
      <w:r w:rsidRPr="0065554C">
        <w:t>V.</w:t>
      </w:r>
      <w:r w:rsidR="001C0D14" w:rsidRPr="0065554C">
        <w:t xml:space="preserve"> </w:t>
      </w:r>
      <w:r w:rsidRPr="0065554C">
        <w:t>2</w:t>
      </w:r>
      <w:r w:rsidR="00D07DE9" w:rsidRPr="0065554C">
        <w:t>1</w:t>
      </w:r>
      <w:r w:rsidRPr="0065554C">
        <w:t xml:space="preserve"> </w:t>
      </w:r>
      <w:r w:rsidRPr="0065554C">
        <w:tab/>
        <w:t>Formato para solicitar la reducción del monto mínimo de la Garantía de Seriedad, previo a la presentación de dicha garantía</w:t>
      </w:r>
    </w:p>
    <w:p w14:paraId="694DF77F" w14:textId="77777777" w:rsidR="00160338" w:rsidRPr="0065554C" w:rsidRDefault="00160338" w:rsidP="00160338">
      <w:pPr>
        <w:pStyle w:val="Contenidodeanexo"/>
      </w:pPr>
      <w:r w:rsidRPr="0065554C">
        <w:tab/>
        <w:t>Referido en el numeral 5.5.6.</w:t>
      </w:r>
    </w:p>
    <w:p w14:paraId="6F1CBF37" w14:textId="77777777" w:rsidR="00160338" w:rsidRPr="0065554C" w:rsidRDefault="00160338" w:rsidP="00160338">
      <w:pPr>
        <w:pStyle w:val="Anexoencontenido"/>
        <w:tabs>
          <w:tab w:val="clear" w:pos="851"/>
          <w:tab w:val="left" w:pos="709"/>
          <w:tab w:val="left" w:pos="2552"/>
        </w:tabs>
        <w:spacing w:before="120"/>
        <w:ind w:left="709" w:hanging="709"/>
      </w:pPr>
      <w:r w:rsidRPr="0065554C">
        <w:t>VI.1</w:t>
      </w:r>
      <w:r w:rsidR="00BE5200" w:rsidRPr="0065554C">
        <w:t>a</w:t>
      </w:r>
      <w:r w:rsidRPr="0065554C">
        <w:tab/>
        <w:t>Formato de confirmación de estatus de interconexión</w:t>
      </w:r>
      <w:r w:rsidRPr="0065554C">
        <w:tab/>
      </w:r>
    </w:p>
    <w:p w14:paraId="3CE09964" w14:textId="77777777" w:rsidR="00160338" w:rsidRPr="0065554C" w:rsidRDefault="00160338" w:rsidP="00160338">
      <w:pPr>
        <w:pStyle w:val="Contenidodeanexo"/>
      </w:pPr>
      <w:r w:rsidRPr="0065554C">
        <w:tab/>
        <w:t>Referido en</w:t>
      </w:r>
      <w:r w:rsidR="00F53A50" w:rsidRPr="0065554C">
        <w:t xml:space="preserve"> </w:t>
      </w:r>
      <w:r w:rsidR="00BE5200" w:rsidRPr="0065554C">
        <w:t>el</w:t>
      </w:r>
      <w:r w:rsidRPr="0065554C">
        <w:t xml:space="preserve"> numeral 6.1.5(a)(</w:t>
      </w:r>
      <w:r w:rsidR="0017339D" w:rsidRPr="0065554C">
        <w:t>ii</w:t>
      </w:r>
      <w:r w:rsidRPr="0065554C">
        <w:t>)</w:t>
      </w:r>
      <w:r w:rsidR="00AE3DCE" w:rsidRPr="0065554C">
        <w:t>(A)</w:t>
      </w:r>
      <w:r w:rsidRPr="0065554C">
        <w:t>.</w:t>
      </w:r>
    </w:p>
    <w:p w14:paraId="0F696746" w14:textId="77777777" w:rsidR="00BE5200" w:rsidRPr="0065554C" w:rsidRDefault="00BE5200" w:rsidP="00BE5200">
      <w:pPr>
        <w:pStyle w:val="Anexoencontenido"/>
        <w:tabs>
          <w:tab w:val="clear" w:pos="851"/>
          <w:tab w:val="left" w:pos="709"/>
          <w:tab w:val="left" w:pos="2552"/>
        </w:tabs>
        <w:spacing w:before="120"/>
        <w:ind w:left="709" w:hanging="709"/>
      </w:pPr>
      <w:r w:rsidRPr="0065554C">
        <w:t>VI.1b</w:t>
      </w:r>
      <w:r w:rsidRPr="0065554C">
        <w:tab/>
        <w:t>Formato de actualización de estatus de interconexión</w:t>
      </w:r>
      <w:r w:rsidRPr="0065554C">
        <w:tab/>
      </w:r>
    </w:p>
    <w:p w14:paraId="59ABA904" w14:textId="77777777" w:rsidR="00BE5200" w:rsidRPr="0065554C" w:rsidRDefault="00BE5200" w:rsidP="00BE5200">
      <w:pPr>
        <w:pStyle w:val="Contenidodeanexo"/>
      </w:pPr>
      <w:r w:rsidRPr="0065554C">
        <w:tab/>
        <w:t>Referido en el numeral 6.4.5 (a)(ii)(B) y numeral 17 del Anexo V.1.</w:t>
      </w:r>
    </w:p>
    <w:p w14:paraId="297FEE53" w14:textId="77777777" w:rsidR="00160338" w:rsidRPr="0065554C" w:rsidRDefault="00160338" w:rsidP="00160338">
      <w:pPr>
        <w:pStyle w:val="Anexoencontenido"/>
        <w:tabs>
          <w:tab w:val="clear" w:pos="851"/>
          <w:tab w:val="left" w:pos="709"/>
          <w:tab w:val="left" w:pos="2552"/>
        </w:tabs>
        <w:spacing w:before="120"/>
        <w:ind w:left="709" w:hanging="709"/>
      </w:pPr>
      <w:r w:rsidRPr="0065554C">
        <w:t>VI.2</w:t>
      </w:r>
      <w:r w:rsidRPr="0065554C">
        <w:tab/>
        <w:t>Programa de enteros mixtos</w:t>
      </w:r>
    </w:p>
    <w:p w14:paraId="2BE6A0E6" w14:textId="77777777" w:rsidR="00160338" w:rsidRPr="0065554C" w:rsidRDefault="00160338" w:rsidP="00160338">
      <w:pPr>
        <w:pStyle w:val="Contenidodeanexo"/>
      </w:pPr>
      <w:r w:rsidRPr="0065554C">
        <w:tab/>
        <w:t>Referido en los numerales 6.5.</w:t>
      </w:r>
      <w:r w:rsidR="0017339D" w:rsidRPr="0065554C">
        <w:t>2</w:t>
      </w:r>
      <w:r w:rsidRPr="0065554C">
        <w:t>, 6.7.3 y 6.7.5</w:t>
      </w:r>
      <w:r w:rsidR="0017339D" w:rsidRPr="0065554C">
        <w:t>(a) y (e)</w:t>
      </w:r>
      <w:r w:rsidR="007D24A7" w:rsidRPr="0065554C">
        <w:t>.</w:t>
      </w:r>
    </w:p>
    <w:p w14:paraId="49B75A9E" w14:textId="77777777" w:rsidR="00160338" w:rsidRPr="0065554C" w:rsidRDefault="00160338" w:rsidP="00160338">
      <w:pPr>
        <w:pStyle w:val="Anexoencontenido"/>
        <w:tabs>
          <w:tab w:val="clear" w:pos="851"/>
          <w:tab w:val="left" w:pos="709"/>
          <w:tab w:val="left" w:pos="2552"/>
        </w:tabs>
        <w:spacing w:before="120"/>
        <w:ind w:left="709" w:hanging="709"/>
      </w:pPr>
      <w:r w:rsidRPr="0065554C">
        <w:t>VII</w:t>
      </w:r>
      <w:r w:rsidR="000476C8" w:rsidRPr="0065554C">
        <w:t>I</w:t>
      </w:r>
      <w:r w:rsidRPr="0065554C">
        <w:t>.1</w:t>
      </w:r>
      <w:r w:rsidRPr="0065554C">
        <w:tab/>
      </w:r>
      <w:r w:rsidR="00B2719C" w:rsidRPr="0065554C">
        <w:t xml:space="preserve">Sección A: </w:t>
      </w:r>
      <w:r w:rsidRPr="0065554C">
        <w:t>Modelo de Contrato de Cobertura Eléctrica para Vendedores</w:t>
      </w:r>
    </w:p>
    <w:p w14:paraId="1A1C28AE" w14:textId="77777777" w:rsidR="00160338" w:rsidRPr="0065554C" w:rsidRDefault="00B2719C" w:rsidP="00160338">
      <w:pPr>
        <w:pStyle w:val="Anexoencontenido"/>
        <w:tabs>
          <w:tab w:val="clear" w:pos="851"/>
          <w:tab w:val="left" w:pos="709"/>
          <w:tab w:val="left" w:pos="2552"/>
        </w:tabs>
        <w:spacing w:before="120"/>
        <w:ind w:left="709" w:hanging="709"/>
      </w:pPr>
      <w:r w:rsidRPr="0065554C">
        <w:tab/>
        <w:t xml:space="preserve">Sección B: </w:t>
      </w:r>
      <w:r w:rsidR="00160338" w:rsidRPr="0065554C">
        <w:t>Modelo de Contrato de Cobertura Eléctrica para Compradores</w:t>
      </w:r>
    </w:p>
    <w:p w14:paraId="4551676A" w14:textId="77777777" w:rsidR="00160338" w:rsidRPr="0065554C" w:rsidRDefault="00160338" w:rsidP="00160338">
      <w:pPr>
        <w:pStyle w:val="Contenidodeanexo"/>
        <w:rPr>
          <w:b/>
          <w:sz w:val="24"/>
          <w:lang w:val="es-MX"/>
        </w:rPr>
      </w:pPr>
      <w:r w:rsidRPr="0065554C">
        <w:tab/>
        <w:t>Referido</w:t>
      </w:r>
      <w:r w:rsidRPr="0065554C">
        <w:rPr>
          <w:lang w:val="es-MX"/>
        </w:rPr>
        <w:t xml:space="preserve"> </w:t>
      </w:r>
      <w:r w:rsidRPr="0065554C">
        <w:t xml:space="preserve">en </w:t>
      </w:r>
      <w:r w:rsidR="00AE3DCE" w:rsidRPr="0065554C">
        <w:t>los numerales</w:t>
      </w:r>
      <w:r w:rsidRPr="0065554C">
        <w:t xml:space="preserve"> </w:t>
      </w:r>
      <w:r w:rsidR="00AE3DCE" w:rsidRPr="0065554C">
        <w:t xml:space="preserve">1.2.4, y </w:t>
      </w:r>
      <w:r w:rsidR="0017339D" w:rsidRPr="0065554C">
        <w:t>8</w:t>
      </w:r>
      <w:r w:rsidRPr="0065554C">
        <w:t>.</w:t>
      </w:r>
      <w:r w:rsidR="00955D18" w:rsidRPr="0065554C">
        <w:t>2</w:t>
      </w:r>
      <w:r w:rsidRPr="0065554C">
        <w:t>.1.</w:t>
      </w:r>
    </w:p>
    <w:p w14:paraId="5EF91CEE" w14:textId="77777777" w:rsidR="00160338" w:rsidRPr="0065554C" w:rsidRDefault="00160338" w:rsidP="00160338">
      <w:pPr>
        <w:pStyle w:val="Contenido"/>
        <w:rPr>
          <w:sz w:val="22"/>
        </w:rPr>
        <w:sectPr w:rsidR="00160338" w:rsidRPr="0065554C" w:rsidSect="009F3E59">
          <w:headerReference w:type="default" r:id="rId11"/>
          <w:footerReference w:type="default" r:id="rId12"/>
          <w:headerReference w:type="first" r:id="rId13"/>
          <w:pgSz w:w="12240" w:h="15840"/>
          <w:pgMar w:top="1418" w:right="1134" w:bottom="1418" w:left="1134" w:header="284" w:footer="496" w:gutter="0"/>
          <w:pgNumType w:fmt="lowerRoman" w:start="1"/>
          <w:cols w:space="708"/>
          <w:titlePg/>
          <w:docGrid w:linePitch="360"/>
        </w:sectPr>
      </w:pPr>
    </w:p>
    <w:p w14:paraId="15D7C4FC" w14:textId="77777777" w:rsidR="00160338" w:rsidRPr="0065554C" w:rsidRDefault="00160338" w:rsidP="00361661">
      <w:pPr>
        <w:pStyle w:val="Captulo"/>
      </w:pPr>
      <w:bookmarkStart w:id="2" w:name="_Toc416428815"/>
      <w:bookmarkStart w:id="3" w:name="_Toc436433745"/>
      <w:bookmarkStart w:id="4" w:name="_Toc436487841"/>
      <w:r w:rsidRPr="0065554C">
        <w:lastRenderedPageBreak/>
        <w:br/>
      </w:r>
      <w:bookmarkStart w:id="5" w:name="_Toc450052158"/>
      <w:bookmarkStart w:id="6" w:name="_Toc312964129"/>
      <w:bookmarkStart w:id="7" w:name="_Toc450201400"/>
      <w:bookmarkStart w:id="8" w:name="_Toc450638563"/>
      <w:bookmarkStart w:id="9" w:name="_Toc479255702"/>
      <w:bookmarkStart w:id="10" w:name="_Toc454100221"/>
      <w:bookmarkStart w:id="11" w:name="_Toc479763744"/>
      <w:bookmarkStart w:id="12" w:name="_Toc509412990"/>
      <w:r w:rsidRPr="0065554C">
        <w:t>Generalidades</w:t>
      </w:r>
      <w:bookmarkEnd w:id="2"/>
      <w:bookmarkEnd w:id="3"/>
      <w:bookmarkEnd w:id="4"/>
      <w:bookmarkEnd w:id="5"/>
      <w:bookmarkEnd w:id="6"/>
      <w:bookmarkEnd w:id="7"/>
      <w:bookmarkEnd w:id="8"/>
      <w:bookmarkEnd w:id="9"/>
      <w:bookmarkEnd w:id="10"/>
      <w:bookmarkEnd w:id="11"/>
      <w:bookmarkEnd w:id="12"/>
    </w:p>
    <w:p w14:paraId="11ACA7F4" w14:textId="77777777" w:rsidR="00160338" w:rsidRPr="0065554C" w:rsidRDefault="00160338" w:rsidP="00D42E95">
      <w:pPr>
        <w:pStyle w:val="Seccin"/>
        <w:numPr>
          <w:ilvl w:val="1"/>
          <w:numId w:val="7"/>
        </w:numPr>
      </w:pPr>
      <w:bookmarkStart w:id="13" w:name="_Toc436487842"/>
      <w:bookmarkStart w:id="14" w:name="_Toc436433746"/>
      <w:bookmarkStart w:id="15" w:name="_Toc450052159"/>
      <w:bookmarkStart w:id="16" w:name="_Toc312964130"/>
      <w:bookmarkStart w:id="17" w:name="_Toc450201401"/>
      <w:bookmarkStart w:id="18" w:name="_Toc450638564"/>
      <w:bookmarkStart w:id="19" w:name="_Toc479255703"/>
      <w:bookmarkStart w:id="20" w:name="_Toc454100222"/>
      <w:bookmarkStart w:id="21" w:name="_Toc479763745"/>
      <w:bookmarkStart w:id="22" w:name="_Toc509412991"/>
      <w:bookmarkStart w:id="23" w:name="_Toc416428816"/>
      <w:r w:rsidRPr="0065554C">
        <w:t>Introducción</w:t>
      </w:r>
      <w:bookmarkEnd w:id="13"/>
      <w:bookmarkEnd w:id="14"/>
      <w:bookmarkEnd w:id="15"/>
      <w:bookmarkEnd w:id="16"/>
      <w:bookmarkEnd w:id="17"/>
      <w:bookmarkEnd w:id="18"/>
      <w:bookmarkEnd w:id="19"/>
      <w:bookmarkEnd w:id="20"/>
      <w:bookmarkEnd w:id="21"/>
      <w:bookmarkEnd w:id="22"/>
    </w:p>
    <w:bookmarkEnd w:id="23"/>
    <w:p w14:paraId="27B3FC28" w14:textId="77777777" w:rsidR="00160338" w:rsidRPr="0065554C" w:rsidRDefault="00160338" w:rsidP="005E311D">
      <w:pPr>
        <w:pStyle w:val="Numeral"/>
      </w:pPr>
      <w:r w:rsidRPr="0065554C">
        <w:t>Las Bases de Licitación son emitidas por el Centro Nacional de Control de Energía de conformidad con las disposiciones de la Ley de la Industria Eléctrica, el Reglamento de la Ley de la Industria Eléctrica, las Bases del Mercado Eléctrico, el Manual de Subastas de Largo Plazo y la Guía Operativa de la Cámara de Compensación</w:t>
      </w:r>
      <w:r w:rsidR="00E6750C" w:rsidRPr="0065554C">
        <w:t xml:space="preserve"> para contratos asignados a través de la Subasta de Largo Plazo</w:t>
      </w:r>
      <w:r w:rsidRPr="0065554C">
        <w:t>.</w:t>
      </w:r>
    </w:p>
    <w:p w14:paraId="3EDD4D11" w14:textId="539E4C12" w:rsidR="00160338" w:rsidRPr="0065554C" w:rsidRDefault="00160338" w:rsidP="005E311D">
      <w:pPr>
        <w:pStyle w:val="Numeral"/>
      </w:pPr>
      <w:r w:rsidRPr="0065554C">
        <w:t>La Subasta se sujetará a lo previsto en las Bases de Licitación, la Guía Operativa de la Cámara de Compensación</w:t>
      </w:r>
      <w:r w:rsidR="002D3707">
        <w:t xml:space="preserve"> para contratos asignados a través de la Subasta de Largo Plazo</w:t>
      </w:r>
      <w:r w:rsidRPr="0065554C">
        <w:t xml:space="preserve">, el Manual de Subastas de Largo Plazo, las Bases del Mercado Eléctrico, </w:t>
      </w:r>
      <w:r w:rsidR="00113A37" w:rsidRPr="0065554C">
        <w:t xml:space="preserve">la Ley </w:t>
      </w:r>
      <w:r w:rsidRPr="0065554C">
        <w:t>de la Industria Eléctrica y el Reglamento de la Ley de la Industria Eléctrica.</w:t>
      </w:r>
    </w:p>
    <w:p w14:paraId="4AE26A67" w14:textId="77777777" w:rsidR="00160338" w:rsidRPr="0065554C" w:rsidRDefault="00160338" w:rsidP="005E311D">
      <w:pPr>
        <w:pStyle w:val="Numeral"/>
      </w:pPr>
      <w:r w:rsidRPr="0065554C">
        <w:t>El CENACE conducirá la Subasta atendiendo a principios de eficiencia, transparencia y objetividad para lograr lo que se indica a continuación:</w:t>
      </w:r>
    </w:p>
    <w:p w14:paraId="6B18DA77" w14:textId="77777777" w:rsidR="00160338" w:rsidRPr="0065554C" w:rsidRDefault="00160338" w:rsidP="005E311D">
      <w:pPr>
        <w:pStyle w:val="Inciso"/>
      </w:pPr>
      <w:r w:rsidRPr="0065554C">
        <w:t>Eficiencia: Alcanzar los fines propuestos con el uso más racional posible de los medios existentes, es decir, obtener el fin al menor costo administrativo posible.</w:t>
      </w:r>
    </w:p>
    <w:p w14:paraId="3381FA65" w14:textId="77777777" w:rsidR="00160338" w:rsidRPr="0065554C" w:rsidRDefault="00160338" w:rsidP="005E311D">
      <w:pPr>
        <w:pStyle w:val="Inciso"/>
      </w:pPr>
      <w:r w:rsidRPr="0065554C">
        <w:t>Transparencia: Que los procedimientos se realicen en condiciones que permitan y garanticen el acceso a la información relativa a la Subasta, de forma accesible y clara, sin más límite que el que imponga el interés público y los derechos de privacidad de los particulares establecidos por la normatividad aplicable, eliminando cualquier discrecionalidad indebida en el desarrollo de dichos procedimientos. </w:t>
      </w:r>
    </w:p>
    <w:p w14:paraId="1C6FD594" w14:textId="77777777" w:rsidR="00160338" w:rsidRPr="0065554C" w:rsidRDefault="00160338" w:rsidP="005E311D">
      <w:pPr>
        <w:pStyle w:val="Inciso"/>
      </w:pPr>
      <w:r w:rsidRPr="0065554C">
        <w:t>Objetividad: Que la actuación del CENACE esté basada en elementos que puedan acreditar plenamente el cumplimiento de los supuestos previstos en la normatividad aplicable, sin prejuzgar o atender a apreciaciones carentes de sustento.</w:t>
      </w:r>
    </w:p>
    <w:p w14:paraId="09613CED" w14:textId="77777777" w:rsidR="00160338" w:rsidRPr="0065554C" w:rsidRDefault="00160338" w:rsidP="005E311D">
      <w:pPr>
        <w:pStyle w:val="Numeral"/>
      </w:pPr>
      <w:r w:rsidRPr="0065554C">
        <w:t xml:space="preserve">La Subasta no se sujetará ni a la Ley de Adquisiciones, Arrendamientos y Servicios del Sector Público, ni a la Ley de Obras Públicas y Servicios relacionados con las </w:t>
      </w:r>
      <w:r w:rsidR="00F86D66" w:rsidRPr="0065554C">
        <w:t>m</w:t>
      </w:r>
      <w:r w:rsidRPr="0065554C">
        <w:t>ismas, atento a lo dispuesto en el artículo 106 de la Ley de la Industria Eléctrica.</w:t>
      </w:r>
    </w:p>
    <w:p w14:paraId="726AFF60" w14:textId="77777777" w:rsidR="00160338" w:rsidRPr="0065554C" w:rsidRDefault="00160338" w:rsidP="005E311D">
      <w:pPr>
        <w:pStyle w:val="Numeral"/>
      </w:pPr>
      <w:r w:rsidRPr="0065554C">
        <w:t xml:space="preserve">La Subasta comprenderá </w:t>
      </w:r>
      <w:r w:rsidR="00317530" w:rsidRPr="0065554C">
        <w:t xml:space="preserve">las etapas y actos previstos en el numeral 5.1.5 (a) del Manual de Subastas de Largo Plazo, los cuales están comprendidos en las siguientes </w:t>
      </w:r>
      <w:r w:rsidRPr="0065554C">
        <w:t>etapas conforme a lo siguiente:</w:t>
      </w:r>
    </w:p>
    <w:p w14:paraId="0DD3F752" w14:textId="77777777" w:rsidR="00B735FF" w:rsidRPr="0065554C" w:rsidRDefault="00160338" w:rsidP="005E311D">
      <w:pPr>
        <w:pStyle w:val="Inciso"/>
      </w:pPr>
      <w:r w:rsidRPr="0065554C">
        <w:t>En la primera etapa se definirán los Productos que serán objeto de la Subasta. Para ello</w:t>
      </w:r>
      <w:r w:rsidR="00B735FF" w:rsidRPr="0065554C">
        <w:t>:</w:t>
      </w:r>
      <w:r w:rsidRPr="0065554C">
        <w:t xml:space="preserve"> </w:t>
      </w:r>
    </w:p>
    <w:p w14:paraId="17C3B891" w14:textId="77777777" w:rsidR="0014071C" w:rsidRPr="0065554C" w:rsidRDefault="00F03CF4" w:rsidP="00BB0888">
      <w:pPr>
        <w:pStyle w:val="Subinciso"/>
      </w:pPr>
      <w:r w:rsidRPr="0065554C">
        <w:t>E</w:t>
      </w:r>
      <w:r w:rsidR="00160338" w:rsidRPr="0065554C">
        <w:t xml:space="preserve">l Suministrador de Servicios Básicos presentará al CENACE </w:t>
      </w:r>
      <w:r w:rsidR="00FB1622" w:rsidRPr="0065554C">
        <w:t>su</w:t>
      </w:r>
      <w:r w:rsidR="00160338" w:rsidRPr="0065554C">
        <w:t xml:space="preserve"> Oferta de Compra y el CENACE, con base en los criterios </w:t>
      </w:r>
      <w:r w:rsidR="00160338" w:rsidRPr="0065554C">
        <w:lastRenderedPageBreak/>
        <w:t xml:space="preserve">establecidos en el Manual de Subastas de Largo Plazo y en las Bases de Licitación, determinará la Oferta de Compra </w:t>
      </w:r>
      <w:r w:rsidR="00FB1622" w:rsidRPr="0065554C">
        <w:t>Aceptada</w:t>
      </w:r>
      <w:r w:rsidR="00160338" w:rsidRPr="0065554C">
        <w:t xml:space="preserve"> del Suministrador de Servicios Básicos</w:t>
      </w:r>
      <w:r w:rsidR="0014071C" w:rsidRPr="0065554C">
        <w:t>.</w:t>
      </w:r>
      <w:r w:rsidR="00160338" w:rsidRPr="0065554C">
        <w:t xml:space="preserve"> </w:t>
      </w:r>
    </w:p>
    <w:p w14:paraId="4A8C59DB" w14:textId="26F07C56" w:rsidR="0014071C" w:rsidRPr="0065554C" w:rsidRDefault="00F03CF4" w:rsidP="002D3707">
      <w:pPr>
        <w:pStyle w:val="Subinciso"/>
      </w:pPr>
      <w:r w:rsidRPr="0065554C">
        <w:t>U</w:t>
      </w:r>
      <w:r w:rsidR="00160338" w:rsidRPr="0065554C">
        <w:t>na vez determinada la Oferta de Compra Aceptada del Suministrador de Servicios Básicos, la misma será dada a conocer a través del Sitio, con el fin de que las demás Entidades Responsables de Carga puedan presentar sus Ofertas de Compra en términos de la Base 14.3.9</w:t>
      </w:r>
      <w:r w:rsidR="002D3707">
        <w:t xml:space="preserve"> </w:t>
      </w:r>
      <w:r w:rsidR="00160338" w:rsidRPr="0065554C">
        <w:t xml:space="preserve">(d) </w:t>
      </w:r>
      <w:r w:rsidR="00AB7729" w:rsidRPr="0065554C">
        <w:t xml:space="preserve">de las Bases del Mercado Eléctrico </w:t>
      </w:r>
      <w:r w:rsidR="00160338" w:rsidRPr="0065554C">
        <w:t xml:space="preserve">y </w:t>
      </w:r>
      <w:r w:rsidR="00115409" w:rsidRPr="0065554C">
        <w:t xml:space="preserve">numeral 6.2.5 </w:t>
      </w:r>
      <w:r w:rsidR="00160338" w:rsidRPr="0065554C">
        <w:t>la Guía Operativa de la Cámara de Compensación</w:t>
      </w:r>
      <w:r w:rsidR="002D3707">
        <w:t xml:space="preserve"> para </w:t>
      </w:r>
      <w:r w:rsidR="002D3707" w:rsidRPr="002D3707">
        <w:t>contratos asignados a través de la Subasta de Largo Plazo</w:t>
      </w:r>
      <w:r w:rsidR="00160338" w:rsidRPr="0065554C">
        <w:t xml:space="preserve">, y </w:t>
      </w:r>
    </w:p>
    <w:p w14:paraId="056015D5" w14:textId="77777777" w:rsidR="00160338" w:rsidRPr="0065554C" w:rsidRDefault="00F03CF4" w:rsidP="00BB0888">
      <w:pPr>
        <w:pStyle w:val="Subinciso"/>
      </w:pPr>
      <w:r w:rsidRPr="0065554C">
        <w:t>L</w:t>
      </w:r>
      <w:r w:rsidR="00160338" w:rsidRPr="0065554C">
        <w:t>os Productos contenidos en la Oferta de Compra Aceptada del Suministrador de Servicios Básicos y en las Ofertas de Compra Aceptadas de las demás Entidades Responsables de Carga que participen en la Subasta como Compradores Potenciales, serán las Ofertas de Compra Aceptadas para la Subasta.</w:t>
      </w:r>
    </w:p>
    <w:p w14:paraId="523235BD" w14:textId="77777777" w:rsidR="00160338" w:rsidRPr="0065554C" w:rsidRDefault="00160338" w:rsidP="005E311D">
      <w:pPr>
        <w:pStyle w:val="Inciso"/>
      </w:pPr>
      <w:r w:rsidRPr="0065554C">
        <w:t xml:space="preserve">En la segunda etapa se recibirán, revisarán y evaluarán las Ofertas de Venta </w:t>
      </w:r>
      <w:r w:rsidR="00FB1622" w:rsidRPr="0065554C">
        <w:t>de la Subasta</w:t>
      </w:r>
      <w:r w:rsidRPr="0065554C">
        <w:t>. Los Licitantes presentarán al CENACE una o más Ofertas de Venta de Productos para satisfacer las Ofertas de Compra Aceptadas y el CENACE, con base en los criterios establecidos en el Manual de Subastas de Largo Plazo y en las Bases de Licitación</w:t>
      </w:r>
      <w:r w:rsidR="00BC12BD" w:rsidRPr="0065554C">
        <w:t>,</w:t>
      </w:r>
      <w:r w:rsidR="00D31B25" w:rsidRPr="0065554C">
        <w:t xml:space="preserve"> ejecutará el programa de enteros mixtos</w:t>
      </w:r>
      <w:r w:rsidR="00BC12BD" w:rsidRPr="0065554C">
        <w:t xml:space="preserve"> mediante</w:t>
      </w:r>
      <w:r w:rsidR="00D31B25" w:rsidRPr="0065554C">
        <w:t xml:space="preserve"> el cual </w:t>
      </w:r>
      <w:r w:rsidR="00BC12BD" w:rsidRPr="0065554C">
        <w:t xml:space="preserve">se </w:t>
      </w:r>
      <w:r w:rsidR="00D31B25" w:rsidRPr="0065554C">
        <w:t>determinará</w:t>
      </w:r>
      <w:r w:rsidRPr="0065554C">
        <w:t xml:space="preserve"> cuáles de esas Ofertas de Venta son las ganadoras</w:t>
      </w:r>
      <w:r w:rsidR="00BC12BD" w:rsidRPr="0065554C">
        <w:t>.</w:t>
      </w:r>
      <w:r w:rsidRPr="0065554C">
        <w:t xml:space="preserve"> </w:t>
      </w:r>
      <w:r w:rsidR="00BC12BD" w:rsidRPr="0065554C">
        <w:t>U</w:t>
      </w:r>
      <w:r w:rsidR="00D31B25" w:rsidRPr="0065554C">
        <w:t>na vez concluido esto</w:t>
      </w:r>
      <w:r w:rsidR="00BC12BD" w:rsidRPr="0065554C">
        <w:t>,</w:t>
      </w:r>
      <w:r w:rsidR="00D31B25" w:rsidRPr="0065554C">
        <w:t xml:space="preserve"> se </w:t>
      </w:r>
      <w:r w:rsidRPr="0065554C">
        <w:t>asignará</w:t>
      </w:r>
      <w:r w:rsidR="00D31B25" w:rsidRPr="0065554C">
        <w:t>n</w:t>
      </w:r>
      <w:r w:rsidRPr="0065554C">
        <w:t xml:space="preserve"> los Contratos correspondientes. </w:t>
      </w:r>
    </w:p>
    <w:p w14:paraId="6B4477B0" w14:textId="77777777" w:rsidR="00160338" w:rsidRPr="0065554C" w:rsidRDefault="00FB1622" w:rsidP="005E311D">
      <w:pPr>
        <w:pStyle w:val="Numeral"/>
      </w:pPr>
      <w:r w:rsidRPr="0065554C">
        <w:t>El CENACE verificará que cada</w:t>
      </w:r>
      <w:r w:rsidR="00160338" w:rsidRPr="0065554C">
        <w:t xml:space="preserve"> Oferta de Compra </w:t>
      </w:r>
      <w:r w:rsidRPr="0065554C">
        <w:t xml:space="preserve">cumpla </w:t>
      </w:r>
      <w:r w:rsidR="00160338" w:rsidRPr="0065554C">
        <w:t>con lo establecido en la</w:t>
      </w:r>
      <w:r w:rsidR="00FE73A5" w:rsidRPr="0065554C">
        <w:t>s</w:t>
      </w:r>
      <w:r w:rsidR="00160338" w:rsidRPr="0065554C">
        <w:t xml:space="preserve"> </w:t>
      </w:r>
      <w:r w:rsidR="00596D75" w:rsidRPr="0065554C">
        <w:t>disposiciones</w:t>
      </w:r>
      <w:r w:rsidR="00160338" w:rsidRPr="0065554C">
        <w:t xml:space="preserve"> 5.5.</w:t>
      </w:r>
      <w:r w:rsidR="00F57DC1" w:rsidRPr="0065554C">
        <w:t>2 y 5.5.</w:t>
      </w:r>
      <w:r w:rsidR="00160338" w:rsidRPr="0065554C">
        <w:t xml:space="preserve">3 </w:t>
      </w:r>
      <w:r w:rsidRPr="0065554C">
        <w:t xml:space="preserve">(b) </w:t>
      </w:r>
      <w:r w:rsidR="00160338" w:rsidRPr="0065554C">
        <w:t>del Manual de Subastas de Largo Plazo.</w:t>
      </w:r>
    </w:p>
    <w:p w14:paraId="3CB08796" w14:textId="77777777" w:rsidR="00160338" w:rsidRPr="0065554C" w:rsidRDefault="00FB1622" w:rsidP="005E311D">
      <w:pPr>
        <w:pStyle w:val="Numeral"/>
      </w:pPr>
      <w:r w:rsidRPr="0065554C">
        <w:t>El CENACE evaluará las</w:t>
      </w:r>
      <w:r w:rsidR="00160338" w:rsidRPr="0065554C">
        <w:t xml:space="preserve"> Ofertas de Venta </w:t>
      </w:r>
      <w:r w:rsidRPr="0065554C">
        <w:t xml:space="preserve">con base en </w:t>
      </w:r>
      <w:r w:rsidR="00160338" w:rsidRPr="0065554C">
        <w:t>los criterios establecidos en el Manual</w:t>
      </w:r>
      <w:r w:rsidR="00F86D66" w:rsidRPr="0065554C">
        <w:t xml:space="preserve"> de Subastas de Largo Plazo</w:t>
      </w:r>
      <w:r w:rsidR="00160338" w:rsidRPr="0065554C">
        <w:t xml:space="preserve"> y en las Bases de Licitación. Cada Oferta de Venta estará integrada por una oferta técnica y una oferta económica</w:t>
      </w:r>
      <w:r w:rsidRPr="0065554C">
        <w:t>,</w:t>
      </w:r>
      <w:r w:rsidR="00160338" w:rsidRPr="0065554C">
        <w:t xml:space="preserve"> conforme a lo siguiente:</w:t>
      </w:r>
    </w:p>
    <w:p w14:paraId="5B4E47A7" w14:textId="77777777" w:rsidR="00160338" w:rsidRPr="0065554C" w:rsidRDefault="00160338" w:rsidP="005E311D">
      <w:pPr>
        <w:pStyle w:val="Inciso"/>
      </w:pPr>
      <w:r w:rsidRPr="0065554C">
        <w:t xml:space="preserve">La oferta técnica se sujetará a un proceso de precalificación, en el cual el CENACE validará que el contenido de la misma acredita que el </w:t>
      </w:r>
      <w:r w:rsidR="00903C2A" w:rsidRPr="0065554C">
        <w:t>Licitante</w:t>
      </w:r>
      <w:r w:rsidRPr="0065554C">
        <w:t xml:space="preserve"> cuenta con la suficiente capacidad legal, </w:t>
      </w:r>
      <w:r w:rsidR="000D376A" w:rsidRPr="0065554C">
        <w:t xml:space="preserve">financiera, y </w:t>
      </w:r>
      <w:r w:rsidRPr="0065554C">
        <w:t xml:space="preserve">técnica y de ejecución, para honrar la Oferta de Venta </w:t>
      </w:r>
      <w:r w:rsidR="00FB1622" w:rsidRPr="0065554C">
        <w:t>que</w:t>
      </w:r>
      <w:r w:rsidRPr="0065554C">
        <w:t xml:space="preserve"> desea presentar en la Subasta. Una vez </w:t>
      </w:r>
      <w:r w:rsidR="000D376A" w:rsidRPr="0065554C">
        <w:t>presentada</w:t>
      </w:r>
      <w:r w:rsidRPr="0065554C">
        <w:t xml:space="preserve"> la Garantía de Seriedad </w:t>
      </w:r>
      <w:r w:rsidR="001E57A9" w:rsidRPr="0065554C">
        <w:t xml:space="preserve">que cubra el monto </w:t>
      </w:r>
      <w:r w:rsidRPr="0065554C">
        <w:t>correspondiente</w:t>
      </w:r>
      <w:r w:rsidR="001E57A9" w:rsidRPr="0065554C">
        <w:t xml:space="preserve"> a los productos de la Oferta de Venta</w:t>
      </w:r>
      <w:r w:rsidRPr="0065554C">
        <w:t xml:space="preserve">, el CENACE emitirá una Constancia de Precalificación para </w:t>
      </w:r>
      <w:r w:rsidR="000D376A" w:rsidRPr="0065554C">
        <w:t xml:space="preserve">la </w:t>
      </w:r>
      <w:r w:rsidRPr="0065554C">
        <w:t>Oferta de Venta.</w:t>
      </w:r>
    </w:p>
    <w:p w14:paraId="651FBA6A" w14:textId="77777777" w:rsidR="00160338" w:rsidRPr="0065554C" w:rsidRDefault="00160338" w:rsidP="005E311D">
      <w:pPr>
        <w:pStyle w:val="Inciso"/>
      </w:pPr>
      <w:r w:rsidRPr="0065554C">
        <w:t xml:space="preserve">La oferta económica sólo podrá ser presentada en la Subasta si la </w:t>
      </w:r>
      <w:r w:rsidR="00FB1622" w:rsidRPr="0065554C">
        <w:t xml:space="preserve">oferta técnica </w:t>
      </w:r>
      <w:r w:rsidRPr="0065554C">
        <w:t xml:space="preserve">a la que </w:t>
      </w:r>
      <w:r w:rsidR="00FB1622" w:rsidRPr="0065554C">
        <w:t>pertenece</w:t>
      </w:r>
      <w:r w:rsidRPr="0065554C">
        <w:t xml:space="preserve"> cuenta con la Constancia de Precalificación correspondiente. </w:t>
      </w:r>
      <w:r w:rsidR="00FB1622" w:rsidRPr="0065554C">
        <w:t xml:space="preserve"> </w:t>
      </w:r>
    </w:p>
    <w:p w14:paraId="0D3F722A" w14:textId="77777777" w:rsidR="00160338" w:rsidRPr="0065554C" w:rsidRDefault="00160338" w:rsidP="005E311D">
      <w:pPr>
        <w:pStyle w:val="Numeral"/>
      </w:pPr>
      <w:r w:rsidRPr="0065554C">
        <w:t>Por</w:t>
      </w:r>
      <w:r w:rsidR="007E16C4" w:rsidRPr="0065554C">
        <w:t xml:space="preserve"> </w:t>
      </w:r>
      <w:r w:rsidRPr="0065554C">
        <w:t xml:space="preserve">cada Oferta de Venta que haya sido seleccionada como ganadora en la Subasta se asignará </w:t>
      </w:r>
      <w:r w:rsidR="00FB1622" w:rsidRPr="0065554C">
        <w:t xml:space="preserve">el Contrato </w:t>
      </w:r>
      <w:r w:rsidRPr="0065554C">
        <w:t xml:space="preserve">al Licitante que la haya presentado, el cual será suscrito por la Cámara de Compensación como Comprador y por ese Licitante, o por la Sociedad de Propósito Específico que el Licitante constituya o haya constituido para ello, como Vendedor. Los Productos que las partes de ese Contrato se obliguen a comprar y vender, así como el precio </w:t>
      </w:r>
      <w:r w:rsidRPr="0065554C">
        <w:lastRenderedPageBreak/>
        <w:t xml:space="preserve">anual para los mismos y la Fecha de Operación Comercial, corresponderán a los Productos, al precio anual y a la Fechas de Operación Comercial ofertados en la Oferta de Venta correspondiente. </w:t>
      </w:r>
    </w:p>
    <w:p w14:paraId="560B802F" w14:textId="77777777" w:rsidR="00160338" w:rsidRPr="0065554C" w:rsidRDefault="00FB1622" w:rsidP="005E311D">
      <w:pPr>
        <w:pStyle w:val="Numeral"/>
      </w:pPr>
      <w:r w:rsidRPr="0065554C">
        <w:t>A</w:t>
      </w:r>
      <w:r w:rsidR="00160338" w:rsidRPr="0065554C">
        <w:t xml:space="preserve"> cada Comprador Potencial que haya presentado </w:t>
      </w:r>
      <w:r w:rsidRPr="0065554C">
        <w:t>una</w:t>
      </w:r>
      <w:r w:rsidR="00160338" w:rsidRPr="0065554C">
        <w:t xml:space="preserve"> Oferta de Compra que forme parte de las Ofertas de Compra Aceptadas para la Subasta se</w:t>
      </w:r>
      <w:r w:rsidR="00FE73A5" w:rsidRPr="0065554C">
        <w:t xml:space="preserve"> le </w:t>
      </w:r>
      <w:r w:rsidR="00160338" w:rsidRPr="0065554C">
        <w:t xml:space="preserve">asignará el Contrato correspondiente, el cual será suscrito por la Cámara de Compensación como Vendedor y por ese Comprador Potencial, como Comprador. Los Productos que las partes de ese Contrato se obliguen a comprar y vender corresponderán a una porción de los Productos que hayan sido ofertados en cada una de las Ofertas de Venta que hayan sido seleccionadas como ganadoras en la Subasta, de acuerdo al precio anual y a la Fecha de Operación Comercial que se haya ofertado en cada una </w:t>
      </w:r>
      <w:r w:rsidRPr="0065554C">
        <w:t>las</w:t>
      </w:r>
      <w:r w:rsidR="00160338" w:rsidRPr="0065554C">
        <w:t xml:space="preserve"> Ofertas de Venta</w:t>
      </w:r>
      <w:r w:rsidRPr="0065554C">
        <w:t xml:space="preserve"> ganadoras</w:t>
      </w:r>
      <w:r w:rsidR="00160338" w:rsidRPr="0065554C">
        <w:t xml:space="preserve">.  </w:t>
      </w:r>
    </w:p>
    <w:p w14:paraId="12417D7E" w14:textId="77777777" w:rsidR="00160338" w:rsidRPr="0065554C" w:rsidRDefault="00160338" w:rsidP="005E311D">
      <w:pPr>
        <w:pStyle w:val="Numeral"/>
      </w:pPr>
      <w:r w:rsidRPr="0065554C">
        <w:t xml:space="preserve">El desarrollo de la Subasta se sujetará a las fechas y los plazos previstos en el Calendario de la Subasta que se acompaña a las Bases de Licitación como </w:t>
      </w:r>
      <w:r w:rsidRPr="0065554C">
        <w:rPr>
          <w:b/>
        </w:rPr>
        <w:t xml:space="preserve">Anexo I.1. </w:t>
      </w:r>
      <w:r w:rsidRPr="0065554C">
        <w:t xml:space="preserve">En caso de contradicción entre lo establecido en el Calendario de la Subasta y las Bases de Licitación, </w:t>
      </w:r>
      <w:r w:rsidR="00F57DC1" w:rsidRPr="0065554C">
        <w:t xml:space="preserve">la Subasta </w:t>
      </w:r>
      <w:r w:rsidRPr="0065554C">
        <w:t xml:space="preserve">se </w:t>
      </w:r>
      <w:r w:rsidR="00F57DC1" w:rsidRPr="0065554C">
        <w:t>sujetará</w:t>
      </w:r>
      <w:r w:rsidRPr="0065554C">
        <w:t xml:space="preserve"> a lo establecido en el Calendario de la Subasta</w:t>
      </w:r>
      <w:r w:rsidR="00FD5811" w:rsidRPr="0065554C">
        <w:t xml:space="preserve">. Considerando </w:t>
      </w:r>
      <w:r w:rsidR="00DB06A1" w:rsidRPr="0065554C">
        <w:t xml:space="preserve">que el Calendario es parte integral de las </w:t>
      </w:r>
      <w:r w:rsidR="006B6F90" w:rsidRPr="0065554C">
        <w:t>B</w:t>
      </w:r>
      <w:r w:rsidR="00DB06A1" w:rsidRPr="0065554C">
        <w:t>ases de Licitación, tal como lo señala el numeral 5.1.5 (b) del Manual de Subastas de Largo Plazo, c</w:t>
      </w:r>
      <w:r w:rsidR="00FD5811" w:rsidRPr="0065554C">
        <w:t>ualquier modificación al Calendario de la Subasta deberá ser autorizada por la</w:t>
      </w:r>
      <w:r w:rsidR="005956B2" w:rsidRPr="0065554C">
        <w:t xml:space="preserve"> CRE.</w:t>
      </w:r>
      <w:r w:rsidR="00EA4936" w:rsidRPr="0065554C">
        <w:t xml:space="preserve"> </w:t>
      </w:r>
      <w:r w:rsidR="005956B2" w:rsidRPr="0065554C">
        <w:t>Una vez publicada la versión final de las Bases de Licitación, estas no pueden ser modificadas</w:t>
      </w:r>
      <w:r w:rsidR="008F546D" w:rsidRPr="0065554C">
        <w:t>, conforme a lo previsto en el numeral 5.3.7 del Manual de Subastas de Largo Plazo</w:t>
      </w:r>
      <w:r w:rsidR="005956B2" w:rsidRPr="0065554C">
        <w:t>.</w:t>
      </w:r>
    </w:p>
    <w:p w14:paraId="75780C42" w14:textId="77777777" w:rsidR="00160338" w:rsidRPr="0065554C" w:rsidRDefault="00160338" w:rsidP="00160338">
      <w:pPr>
        <w:pStyle w:val="Seccin"/>
      </w:pPr>
      <w:bookmarkStart w:id="24" w:name="_Toc450638565"/>
      <w:bookmarkStart w:id="25" w:name="_Toc479255704"/>
      <w:bookmarkStart w:id="26" w:name="_Toc454100223"/>
      <w:bookmarkStart w:id="27" w:name="_Toc479763746"/>
      <w:bookmarkStart w:id="28" w:name="_Toc509412992"/>
      <w:bookmarkStart w:id="29" w:name="_Toc436487843"/>
      <w:bookmarkStart w:id="30" w:name="_Toc436433747"/>
      <w:r w:rsidRPr="0065554C">
        <w:t>Términos definidos</w:t>
      </w:r>
      <w:bookmarkEnd w:id="24"/>
      <w:bookmarkEnd w:id="25"/>
      <w:bookmarkEnd w:id="26"/>
      <w:bookmarkEnd w:id="27"/>
      <w:bookmarkEnd w:id="28"/>
    </w:p>
    <w:p w14:paraId="197B36BE" w14:textId="77777777" w:rsidR="00160338" w:rsidRPr="0065554C" w:rsidRDefault="00160338" w:rsidP="00160338">
      <w:pPr>
        <w:pStyle w:val="Texto1"/>
        <w:rPr>
          <w:lang w:val="es-MX"/>
        </w:rPr>
      </w:pPr>
      <w:r w:rsidRPr="0065554C">
        <w:rPr>
          <w:lang w:val="es-MX"/>
        </w:rPr>
        <w:t>Para efectos de las presentes Bases de Licitación, además de las definiciones contenidas en el artículo 3 de la Ley de la Industria Eléctrica, en el artículo 2 del Reglamento de la Ley de la Industria Eléctrica, en las Bases del Mercado Eléctrico, en el Manual de Subastas de Largo Plazo y en la Guía Operativa de la Cámara de Compensación, se entenderá por:</w:t>
      </w:r>
    </w:p>
    <w:p w14:paraId="26EFC6C1" w14:textId="77777777" w:rsidR="00160338" w:rsidRPr="0065554C" w:rsidRDefault="00160338" w:rsidP="005E311D">
      <w:pPr>
        <w:pStyle w:val="Numeral"/>
      </w:pPr>
      <w:r w:rsidRPr="0065554C">
        <w:rPr>
          <w:b/>
          <w:szCs w:val="20"/>
        </w:rPr>
        <w:t xml:space="preserve">Bases de Licitación: </w:t>
      </w:r>
      <w:r w:rsidRPr="0065554C">
        <w:t xml:space="preserve">El presente instrumento, y sus anexos e instructivos, que emite el CENACE para la Subasta de conformidad </w:t>
      </w:r>
      <w:r w:rsidR="00FB1622" w:rsidRPr="0065554C">
        <w:t>con</w:t>
      </w:r>
      <w:r w:rsidRPr="0065554C">
        <w:t xml:space="preserve"> lo previsto en</w:t>
      </w:r>
      <w:r w:rsidR="00A73C3F" w:rsidRPr="0065554C">
        <w:t xml:space="preserve"> la Ley de la Industria Eléctrica, en el Reglamento de la Ley de la Industria Eléctrica, en las Bases del Mercado Eléctrico y en </w:t>
      </w:r>
      <w:r w:rsidRPr="0065554C">
        <w:t xml:space="preserve"> el Manual de Subastas de Largo Plazo en sus numerales 2.5.2 y 5.3.</w:t>
      </w:r>
    </w:p>
    <w:p w14:paraId="57A8A8A3" w14:textId="77777777" w:rsidR="00160338" w:rsidRPr="0065554C" w:rsidRDefault="00160338" w:rsidP="005E311D">
      <w:pPr>
        <w:pStyle w:val="Numeral"/>
      </w:pPr>
      <w:r w:rsidRPr="0065554C">
        <w:rPr>
          <w:b/>
        </w:rPr>
        <w:t>Capacidad de Placa:</w:t>
      </w:r>
      <w:r w:rsidRPr="0065554C">
        <w:t xml:space="preserve"> Tendrá el mismo significado que Capacidad Instalada</w:t>
      </w:r>
      <w:r w:rsidR="00FB1622" w:rsidRPr="0065554C">
        <w:t>, definida en la Base 2.1.9 de las Bases del Mercado Eléctrico</w:t>
      </w:r>
      <w:r w:rsidR="003910A3" w:rsidRPr="0065554C">
        <w:t>, considerando la Capacidad en Corriente Alterna (CA) y excluyendo a los Recursos de Demanda Controlable</w:t>
      </w:r>
      <w:r w:rsidRPr="0065554C">
        <w:rPr>
          <w:lang w:val="es-MX"/>
        </w:rPr>
        <w:t>.</w:t>
      </w:r>
    </w:p>
    <w:p w14:paraId="7C5A5CD6" w14:textId="77777777" w:rsidR="00160338" w:rsidRPr="0065554C" w:rsidRDefault="00160338" w:rsidP="005E311D">
      <w:pPr>
        <w:pStyle w:val="Numeral"/>
      </w:pPr>
      <w:r w:rsidRPr="0065554C">
        <w:rPr>
          <w:b/>
        </w:rPr>
        <w:t>Código de Red</w:t>
      </w:r>
      <w:r w:rsidRPr="0065554C">
        <w:t xml:space="preserve">: </w:t>
      </w:r>
      <w:r w:rsidR="00FB1622" w:rsidRPr="0065554C">
        <w:t>Sin perjuicio de</w:t>
      </w:r>
      <w:r w:rsidRPr="0065554C">
        <w:t xml:space="preserve"> lo establecido en la Base 2.1.14 de las Bases del Mercado</w:t>
      </w:r>
      <w:r w:rsidR="00FB1622" w:rsidRPr="0065554C">
        <w:t xml:space="preserve"> Eléctrico</w:t>
      </w:r>
      <w:r w:rsidRPr="0065554C">
        <w:t xml:space="preserve">, para esta Subasta se </w:t>
      </w:r>
      <w:r w:rsidR="00FB1622" w:rsidRPr="0065554C">
        <w:t>define como</w:t>
      </w:r>
      <w:r w:rsidRPr="0065554C">
        <w:t xml:space="preserve"> las Disposiciones Administrativas de carácter general que contienen los criterios de eficiencia, calidad, confiabilidad, continuidad, seguridad y sustentabilidad del Sistema Eléctrico Nacional: Código de Red, conforme dispone el artículo 12, fracción XXXVII de la Ley de la Industria Eléctrica, publicados en el Diario Oficial de la Federación el 8 de abril de 2016</w:t>
      </w:r>
      <w:r w:rsidR="00FB1622" w:rsidRPr="0065554C">
        <w:t>,</w:t>
      </w:r>
      <w:r w:rsidRPr="0065554C">
        <w:t xml:space="preserve"> </w:t>
      </w:r>
      <w:r w:rsidR="00DC0971" w:rsidRPr="0065554C">
        <w:t xml:space="preserve">o las Reglas Generales de Interconexión </w:t>
      </w:r>
      <w:r w:rsidR="00DC0971" w:rsidRPr="0065554C">
        <w:lastRenderedPageBreak/>
        <w:t>del Sistema Eléctrico Nacional (REGISEN), publicadas en el Diario Oficial de la Federación el 22 de mayo de 2012</w:t>
      </w:r>
      <w:r w:rsidR="0069334F" w:rsidRPr="0065554C">
        <w:t>,</w:t>
      </w:r>
      <w:r w:rsidR="00DC0971" w:rsidRPr="0065554C">
        <w:t xml:space="preserve"> según resulte aplicable de conformidad con lo que determine la CRE</w:t>
      </w:r>
      <w:r w:rsidRPr="0065554C">
        <w:t>.</w:t>
      </w:r>
    </w:p>
    <w:p w14:paraId="31A885F7" w14:textId="77777777" w:rsidR="00160338" w:rsidRPr="0065554C" w:rsidRDefault="00160338" w:rsidP="005E311D">
      <w:pPr>
        <w:pStyle w:val="Numeral"/>
      </w:pPr>
      <w:r w:rsidRPr="0065554C">
        <w:rPr>
          <w:b/>
        </w:rPr>
        <w:t>Contrato</w:t>
      </w:r>
      <w:r w:rsidRPr="0065554C">
        <w:t xml:space="preserve">: El Contrato de Cobertura Eléctrica que será asignado por el CENACE como resultado de la Subasta y que </w:t>
      </w:r>
      <w:r w:rsidR="00FB1622" w:rsidRPr="0065554C">
        <w:t>deberán</w:t>
      </w:r>
      <w:r w:rsidRPr="0065554C">
        <w:t xml:space="preserve"> suscribir</w:t>
      </w:r>
      <w:r w:rsidR="00FB1622" w:rsidRPr="0065554C">
        <w:t>, según sea</w:t>
      </w:r>
      <w:r w:rsidR="00D0540F" w:rsidRPr="0065554C">
        <w:t xml:space="preserve"> el </w:t>
      </w:r>
      <w:r w:rsidR="00FB1622" w:rsidRPr="0065554C">
        <w:t>caso</w:t>
      </w:r>
      <w:r w:rsidRPr="0065554C">
        <w:t xml:space="preserve">: (a) el Licitante </w:t>
      </w:r>
      <w:r w:rsidR="00FB1622" w:rsidRPr="0065554C">
        <w:t>correspondiente,</w:t>
      </w:r>
      <w:r w:rsidRPr="0065554C">
        <w:t xml:space="preserve"> o la Sociedad de Propósito Específico</w:t>
      </w:r>
      <w:r w:rsidR="00D0540F" w:rsidRPr="0065554C">
        <w:t xml:space="preserve"> </w:t>
      </w:r>
      <w:r w:rsidRPr="0065554C">
        <w:t>que el Licitante constituya o haya designado para ello en su Oferta de Venta, como Vendedor, y la Cámara de Compensación</w:t>
      </w:r>
      <w:r w:rsidR="00FB1622" w:rsidRPr="0065554C">
        <w:t>,</w:t>
      </w:r>
      <w:r w:rsidRPr="0065554C">
        <w:t xml:space="preserve"> como Comprador, de conformidad con el Modelo de Contrato que se acompaña a las Bases de Licitación como </w:t>
      </w:r>
      <w:r w:rsidRPr="0065554C">
        <w:rPr>
          <w:b/>
        </w:rPr>
        <w:t>Anexo VII</w:t>
      </w:r>
      <w:r w:rsidR="0014457F" w:rsidRPr="0065554C">
        <w:rPr>
          <w:b/>
        </w:rPr>
        <w:t>I</w:t>
      </w:r>
      <w:r w:rsidRPr="0065554C">
        <w:rPr>
          <w:b/>
        </w:rPr>
        <w:t>.1</w:t>
      </w:r>
      <w:r w:rsidR="00B2719C" w:rsidRPr="0065554C">
        <w:rPr>
          <w:b/>
        </w:rPr>
        <w:t xml:space="preserve"> – Sección A</w:t>
      </w:r>
      <w:r w:rsidRPr="0065554C">
        <w:t>,</w:t>
      </w:r>
      <w:r w:rsidRPr="0065554C">
        <w:rPr>
          <w:b/>
        </w:rPr>
        <w:t xml:space="preserve"> </w:t>
      </w:r>
      <w:r w:rsidRPr="0065554C">
        <w:t xml:space="preserve">o bien, (b) el Comprador Potencial correspondiente, como Comprador, y la Cámara de Compensación como Vendedor, de conformidad con el Modelo de Contrato que se acompaña a las Bases de Licitación como </w:t>
      </w:r>
      <w:r w:rsidRPr="0065554C">
        <w:rPr>
          <w:b/>
        </w:rPr>
        <w:t>Anexo VII</w:t>
      </w:r>
      <w:r w:rsidR="0014457F" w:rsidRPr="0065554C">
        <w:rPr>
          <w:b/>
        </w:rPr>
        <w:t>I</w:t>
      </w:r>
      <w:r w:rsidRPr="0065554C">
        <w:rPr>
          <w:b/>
        </w:rPr>
        <w:t>.</w:t>
      </w:r>
      <w:r w:rsidR="00B2719C" w:rsidRPr="0065554C">
        <w:rPr>
          <w:b/>
        </w:rPr>
        <w:t>1 – Sección B</w:t>
      </w:r>
      <w:r w:rsidR="00FB1622" w:rsidRPr="0065554C">
        <w:t>.</w:t>
      </w:r>
    </w:p>
    <w:p w14:paraId="292810E6" w14:textId="77777777" w:rsidR="00160338" w:rsidRPr="0065554C" w:rsidRDefault="00160338" w:rsidP="005E311D">
      <w:pPr>
        <w:pStyle w:val="Numeral"/>
      </w:pPr>
      <w:r w:rsidRPr="0065554C">
        <w:rPr>
          <w:b/>
        </w:rPr>
        <w:t xml:space="preserve">Dictamen Favorable: </w:t>
      </w:r>
      <w:r w:rsidRPr="0065554C">
        <w:t xml:space="preserve">Documento emitido por el CENACE para hacer constar que la documentación presentada por el </w:t>
      </w:r>
      <w:r w:rsidR="00903C2A" w:rsidRPr="0065554C">
        <w:t>Licitante</w:t>
      </w:r>
      <w:r w:rsidR="003446AF" w:rsidRPr="0065554C">
        <w:t xml:space="preserve"> </w:t>
      </w:r>
      <w:r w:rsidRPr="0065554C">
        <w:t>en la solicitud de precalificación de Oferta de Venta de que se trate permite acreditar que cuenta con la suficiente capacidad legal, técnica y de ejecución, y financiera para obligarse en los términos de la Oferta de Venta que pretende presentar en la Subasta sujeto al otorgamiento de la Garantía de Seriedad correspondiente.</w:t>
      </w:r>
    </w:p>
    <w:p w14:paraId="011D1BEE" w14:textId="77777777" w:rsidR="00160338" w:rsidRPr="0065554C" w:rsidRDefault="00160338" w:rsidP="005E311D">
      <w:pPr>
        <w:pStyle w:val="Numeral"/>
      </w:pPr>
      <w:r w:rsidRPr="0065554C">
        <w:rPr>
          <w:b/>
        </w:rPr>
        <w:t xml:space="preserve">Dictamen No Favorable: </w:t>
      </w:r>
      <w:r w:rsidRPr="0065554C">
        <w:t xml:space="preserve">Documento emitido por el CENACE para hacer constar que la documentación presentada por el </w:t>
      </w:r>
      <w:r w:rsidR="001C0D14" w:rsidRPr="0065554C">
        <w:t>Licitante</w:t>
      </w:r>
      <w:r w:rsidR="00F57DC1" w:rsidRPr="0065554C">
        <w:t xml:space="preserve"> </w:t>
      </w:r>
      <w:r w:rsidRPr="0065554C">
        <w:t>en la solicitud de precalificación de Oferta de Venta de que se trate no permite acreditar que cuenta con la suficiente capacidad legal, técnica y de ejecución, y financiera para obligarse en los términos de la Oferta de Venta que pretende presentar en la Subasta sujeto al otorgamiento de la Garantía de Seriedad correspondiente.</w:t>
      </w:r>
    </w:p>
    <w:p w14:paraId="54C51ACE" w14:textId="77777777" w:rsidR="00160338" w:rsidRPr="0065554C" w:rsidRDefault="00160338" w:rsidP="005E311D">
      <w:pPr>
        <w:pStyle w:val="Numeral"/>
      </w:pPr>
      <w:r w:rsidRPr="0065554C">
        <w:rPr>
          <w:b/>
        </w:rPr>
        <w:t xml:space="preserve">Diferencias Esperadas: </w:t>
      </w:r>
      <w:r w:rsidRPr="0065554C">
        <w:t>Tiene el significado que a dicho término se le atribuye en el numeral 2.8.5 del Manual de Subastas de Largo Plazo.</w:t>
      </w:r>
    </w:p>
    <w:p w14:paraId="28A22429" w14:textId="77777777" w:rsidR="00160338" w:rsidRPr="0065554C" w:rsidRDefault="00160338" w:rsidP="005E311D">
      <w:pPr>
        <w:pStyle w:val="Numeral"/>
      </w:pPr>
      <w:r w:rsidRPr="0065554C">
        <w:rPr>
          <w:b/>
        </w:rPr>
        <w:t xml:space="preserve">Entidad Responsable de </w:t>
      </w:r>
      <w:r w:rsidR="00FB1622" w:rsidRPr="0065554C">
        <w:rPr>
          <w:b/>
        </w:rPr>
        <w:t>Carga</w:t>
      </w:r>
      <w:r w:rsidRPr="0065554C">
        <w:t>: Tiene el significado que se le atribuye en la Base 2.1.47</w:t>
      </w:r>
      <w:r w:rsidR="004763F3" w:rsidRPr="0065554C">
        <w:t xml:space="preserve"> de</w:t>
      </w:r>
      <w:r w:rsidR="00AB7729" w:rsidRPr="0065554C">
        <w:t xml:space="preserve"> las Bases del Mercado Eléctrico.</w:t>
      </w:r>
    </w:p>
    <w:p w14:paraId="6F51F73B" w14:textId="77777777" w:rsidR="00160338" w:rsidRPr="0065554C" w:rsidRDefault="00160338" w:rsidP="005E311D">
      <w:pPr>
        <w:pStyle w:val="Numeral"/>
      </w:pPr>
      <w:r w:rsidRPr="0065554C">
        <w:rPr>
          <w:b/>
        </w:rPr>
        <w:t>Fecha de Operación Comercial Estándar:</w:t>
      </w:r>
      <w:r w:rsidRPr="0065554C">
        <w:t xml:space="preserve"> El 1 de enero de 202</w:t>
      </w:r>
      <w:r w:rsidR="00D31B25" w:rsidRPr="0065554C">
        <w:t>1</w:t>
      </w:r>
      <w:r w:rsidRPr="0065554C">
        <w:t>.</w:t>
      </w:r>
    </w:p>
    <w:p w14:paraId="3686976F" w14:textId="77777777" w:rsidR="00160338" w:rsidRPr="0065554C" w:rsidRDefault="00160338" w:rsidP="005E311D">
      <w:pPr>
        <w:pStyle w:val="Numeral"/>
      </w:pPr>
      <w:r w:rsidRPr="0065554C">
        <w:rPr>
          <w:b/>
        </w:rPr>
        <w:t>Fecha de Operación Comercial Ofertada:</w:t>
      </w:r>
      <w:r w:rsidRPr="0065554C">
        <w:t xml:space="preserve"> La fecha de inicio de operación señalada por el Licitante en su Oferta de Venta de conformidad con lo previsto en el numeral 1.3.22 del Manual de Subastas de Largo Plazo, la cual podrá ser hasta un año antes o dos años después de la Fecha de Operación Comercial Estándar. </w:t>
      </w:r>
    </w:p>
    <w:p w14:paraId="646C40AF" w14:textId="77777777" w:rsidR="00160338" w:rsidRPr="0065554C" w:rsidRDefault="00160338" w:rsidP="005E311D">
      <w:pPr>
        <w:pStyle w:val="Numeral"/>
      </w:pPr>
      <w:r w:rsidRPr="0065554C">
        <w:rPr>
          <w:b/>
        </w:rPr>
        <w:t>Garantía Financiera</w:t>
      </w:r>
      <w:r w:rsidRPr="0065554C">
        <w:t>: La garantía que se emite a favor del CENACE conforme a lo establecido en el numeral 19 de los “Criterios mediante los que se establecen las características específicas de la infraestructura requerida para la Interconexión de Centrales Eléctricas y Conexión de Centros de Carga</w:t>
      </w:r>
      <w:r w:rsidR="00FB1622" w:rsidRPr="0065554C">
        <w:t>”</w:t>
      </w:r>
      <w:r w:rsidRPr="0065554C">
        <w:t>, o</w:t>
      </w:r>
      <w:r w:rsidR="00FB1622" w:rsidRPr="0065554C">
        <w:t xml:space="preserve"> en</w:t>
      </w:r>
      <w:r w:rsidRPr="0065554C">
        <w:t xml:space="preserve"> el instrumento que lo sustituya.</w:t>
      </w:r>
    </w:p>
    <w:p w14:paraId="27FA5EBB" w14:textId="77777777" w:rsidR="00160338" w:rsidRPr="0065554C" w:rsidRDefault="00160338" w:rsidP="005E311D">
      <w:pPr>
        <w:pStyle w:val="Numeral"/>
      </w:pPr>
      <w:r w:rsidRPr="0065554C">
        <w:rPr>
          <w:b/>
        </w:rPr>
        <w:t>Garantía de Seriedad</w:t>
      </w:r>
      <w:r w:rsidRPr="0065554C">
        <w:t xml:space="preserve">: La carta o cartas de crédito incondicionales e irrevocables </w:t>
      </w:r>
      <w:r w:rsidRPr="0065554C">
        <w:rPr>
          <w:i/>
        </w:rPr>
        <w:t>standby</w:t>
      </w:r>
      <w:r w:rsidRPr="0065554C">
        <w:t xml:space="preserve"> emitidas en favor del CENACE para garantizar el cumplimiento de las obligaciones que asuma el Comprador Potencial o el Licitante en la Subasta.</w:t>
      </w:r>
    </w:p>
    <w:p w14:paraId="4B10E7A7" w14:textId="77777777" w:rsidR="00160338" w:rsidRPr="0065554C" w:rsidRDefault="00160338" w:rsidP="005E311D">
      <w:pPr>
        <w:pStyle w:val="Numeral"/>
      </w:pPr>
      <w:r w:rsidRPr="0065554C">
        <w:rPr>
          <w:b/>
        </w:rPr>
        <w:lastRenderedPageBreak/>
        <w:t>Garantía de Cumplimiento de Contratos de Cobertura:</w:t>
      </w:r>
      <w:r w:rsidRPr="0065554C">
        <w:t xml:space="preserve"> Es </w:t>
      </w:r>
      <w:r w:rsidR="00417333" w:rsidRPr="0065554C">
        <w:t>la Garantía de Cumplimiento en los términos definidos en la Guía Operativa de la Cámara de Compensación, esto es, el</w:t>
      </w:r>
      <w:r w:rsidRPr="0065554C">
        <w:t xml:space="preserve"> instrumento mediante el cual el Vendedor garantiza a la Cámara de Compensación, o el Comprador garantiza a la Cámara de Compensación, el cumplimiento de las obligaciones que asume en un Contrato de acuerdo con lo establecido en el mismo. </w:t>
      </w:r>
    </w:p>
    <w:p w14:paraId="6293C297" w14:textId="77777777" w:rsidR="00160338" w:rsidRPr="0065554C" w:rsidRDefault="00160338" w:rsidP="005E311D">
      <w:pPr>
        <w:pStyle w:val="Numeral"/>
      </w:pPr>
      <w:r w:rsidRPr="0065554C">
        <w:rPr>
          <w:b/>
        </w:rPr>
        <w:t>Guía Operativa</w:t>
      </w:r>
      <w:r w:rsidRPr="0065554C">
        <w:t xml:space="preserve">: </w:t>
      </w:r>
      <w:r w:rsidR="00CF032D" w:rsidRPr="0065554C">
        <w:t>Es</w:t>
      </w:r>
      <w:r w:rsidRPr="0065554C">
        <w:t xml:space="preserve"> la Guía Operativa de la Cámara de Compensación para Contratos asignados a través de Subastas de Largo Plazo</w:t>
      </w:r>
      <w:r w:rsidR="001A48AF" w:rsidRPr="0065554C">
        <w:t>, publicada en el Diario Oficial de la Federación el 23 de junio de 2017</w:t>
      </w:r>
      <w:r w:rsidR="00CF032D" w:rsidRPr="0065554C">
        <w:t>.</w:t>
      </w:r>
      <w:r w:rsidRPr="0065554C">
        <w:t xml:space="preserve"> </w:t>
      </w:r>
    </w:p>
    <w:p w14:paraId="599CFB49" w14:textId="77777777" w:rsidR="00160338" w:rsidRPr="0065554C" w:rsidRDefault="00160338" w:rsidP="005E311D">
      <w:pPr>
        <w:pStyle w:val="Numeral"/>
      </w:pPr>
      <w:r w:rsidRPr="0065554C">
        <w:rPr>
          <w:b/>
        </w:rPr>
        <w:t>Instructivo</w:t>
      </w:r>
      <w:r w:rsidRPr="0065554C">
        <w:t>: Instructivo de capacitación para el uso del Sitio a que se refiere el numeral 5.1.4(c) del Manual de Subastas de Largo Plazo.</w:t>
      </w:r>
    </w:p>
    <w:p w14:paraId="766116F4" w14:textId="77777777" w:rsidR="00160338" w:rsidRPr="0065554C" w:rsidRDefault="00160338" w:rsidP="005E311D">
      <w:pPr>
        <w:pStyle w:val="Numeral"/>
      </w:pPr>
      <w:r w:rsidRPr="0065554C">
        <w:rPr>
          <w:b/>
        </w:rPr>
        <w:t>Interesado:</w:t>
      </w:r>
      <w:r w:rsidRPr="0065554C">
        <w:t xml:space="preserve"> Cualquier persona física o moral que realice actuaciones en la Subasta</w:t>
      </w:r>
      <w:r w:rsidR="007709C7" w:rsidRPr="0065554C">
        <w:t xml:space="preserve"> hasta antes de tener</w:t>
      </w:r>
      <w:r w:rsidRPr="0065554C">
        <w:t xml:space="preserve"> el carácter de Comprador Potencial o Licitante.</w:t>
      </w:r>
    </w:p>
    <w:p w14:paraId="05BA7D04" w14:textId="77777777" w:rsidR="00160338" w:rsidRPr="0065554C" w:rsidRDefault="00160338" w:rsidP="005E311D">
      <w:pPr>
        <w:pStyle w:val="Numeral"/>
      </w:pPr>
      <w:r w:rsidRPr="0065554C">
        <w:rPr>
          <w:b/>
        </w:rPr>
        <w:t>Manual de Subastas de Largo Plazo:</w:t>
      </w:r>
      <w:r w:rsidRPr="0065554C">
        <w:t xml:space="preserve"> El Manual de Subastas de Largo Plazo publicado en el Diario Oficial de la Federación el 19 de noviembre de 2015.</w:t>
      </w:r>
    </w:p>
    <w:p w14:paraId="5E5AA4FE" w14:textId="77777777" w:rsidR="00160338" w:rsidRPr="0065554C" w:rsidRDefault="00160338" w:rsidP="005E311D">
      <w:pPr>
        <w:pStyle w:val="Numeral"/>
      </w:pPr>
      <w:r w:rsidRPr="0065554C">
        <w:rPr>
          <w:b/>
        </w:rPr>
        <w:t xml:space="preserve">Oferta de Compra: </w:t>
      </w:r>
      <w:r w:rsidRPr="0065554C">
        <w:t>Oferta para comprar una cantidad determinada de Potencia, Energía Eléctrica Acumulable o CEL, presentada en la Subasta por el Suministrador de Servicios Básicos y las Entidades Responsables de Carga en los términos de las Bases del Mercado Eléctrico, el Manual de Subastas de Largo Plazo, la Guía Operativa de la Cámara de Compensación y las Bases de Licitación.</w:t>
      </w:r>
    </w:p>
    <w:p w14:paraId="56789A5C" w14:textId="77777777" w:rsidR="00160338" w:rsidRPr="0065554C" w:rsidRDefault="00160338" w:rsidP="005E311D">
      <w:pPr>
        <w:pStyle w:val="Numeral"/>
      </w:pPr>
      <w:r w:rsidRPr="0065554C">
        <w:rPr>
          <w:b/>
        </w:rPr>
        <w:t>Ofertas de Compra Aceptadas</w:t>
      </w:r>
      <w:r w:rsidRPr="0065554C">
        <w:t>: Tiene el significado que a dicho término se le atribuye en el numeral 5.5.4(a) del Manual de Subastas de Largo Plazo y tendrá para la Subasta el tratamiento previsto en los numerales 4.4 y 4.</w:t>
      </w:r>
      <w:r w:rsidR="008E0094" w:rsidRPr="0065554C">
        <w:t>6</w:t>
      </w:r>
      <w:r w:rsidRPr="0065554C">
        <w:t>.</w:t>
      </w:r>
    </w:p>
    <w:p w14:paraId="6BC69F73" w14:textId="77777777" w:rsidR="00160338" w:rsidRPr="0065554C" w:rsidRDefault="00160338" w:rsidP="005E311D">
      <w:pPr>
        <w:pStyle w:val="Numeral"/>
        <w:rPr>
          <w:szCs w:val="20"/>
        </w:rPr>
      </w:pPr>
      <w:r w:rsidRPr="0065554C">
        <w:rPr>
          <w:b/>
        </w:rPr>
        <w:t>PIIRCE</w:t>
      </w:r>
      <w:r w:rsidRPr="0065554C">
        <w:t>: El Programa Indicativo para la Instalación y Retiro de Centrales Eléctricas más reciente.</w:t>
      </w:r>
    </w:p>
    <w:p w14:paraId="3DDFEB6D" w14:textId="77777777" w:rsidR="00160338" w:rsidRPr="0065554C" w:rsidRDefault="00160338" w:rsidP="005E311D">
      <w:pPr>
        <w:pStyle w:val="Numeral"/>
      </w:pPr>
      <w:r w:rsidRPr="0065554C">
        <w:rPr>
          <w:b/>
        </w:rPr>
        <w:t>Potencia</w:t>
      </w:r>
      <w:r w:rsidRPr="0065554C">
        <w:t xml:space="preserve">: Tiene el significado que se le atribuye en las Bases 2.1.97, 11.1.4(b) y 11.1.4(e), y corresponde al producto comercial que un Generador puede vender a través de Contratos de Cobertura Eléctrica cuando ese Generador: </w:t>
      </w:r>
      <w:r w:rsidRPr="0065554C">
        <w:rPr>
          <w:b/>
        </w:rPr>
        <w:t>(a)</w:t>
      </w:r>
      <w:r w:rsidRPr="0065554C">
        <w:t xml:space="preserve"> obtenga ese producto comercial en función de su Capacidad Entregada, es decir, de la cantidad de potencia que las Centrales Eléctricas o Unidades de Central Eléctrica que represente en el Mercado Eléctrico Mayorista efectivamente hayan puesto a disposición del SEN en las horas críticas de cada año de acuerdo con el cálculo que al efecto realice el CENACE después de transcurrido dicho año en términos del Manual del Mercado para el Balance de Potencia,</w:t>
      </w:r>
      <w:r w:rsidR="00FB1622" w:rsidRPr="0065554C">
        <w:t xml:space="preserve"> </w:t>
      </w:r>
      <w:r w:rsidRPr="0065554C">
        <w:t xml:space="preserve">o bien, </w:t>
      </w:r>
      <w:r w:rsidRPr="0065554C">
        <w:rPr>
          <w:b/>
        </w:rPr>
        <w:t>(b)</w:t>
      </w:r>
      <w:r w:rsidRPr="0065554C">
        <w:t xml:space="preserve"> quede obligado a adquirir ese producto comercial directamente en el Mercado para el Balance de Potencia</w:t>
      </w:r>
      <w:r w:rsidR="00F93273" w:rsidRPr="0065554C">
        <w:t xml:space="preserve"> </w:t>
      </w:r>
      <w:r w:rsidRPr="0065554C">
        <w:t>de conformidad con lo previsto en las Bases del Mercado Eléctrico y los manuales de prácticas del mercado correspondientes.</w:t>
      </w:r>
    </w:p>
    <w:p w14:paraId="525776C2" w14:textId="77777777" w:rsidR="00160338" w:rsidRPr="0065554C" w:rsidRDefault="00160338" w:rsidP="005E311D">
      <w:pPr>
        <w:pStyle w:val="Numeral"/>
      </w:pPr>
      <w:r w:rsidRPr="0065554C">
        <w:rPr>
          <w:b/>
        </w:rPr>
        <w:t>Producto</w:t>
      </w:r>
      <w:r w:rsidRPr="0065554C">
        <w:t xml:space="preserve">: Cualquiera de los productos que podrán adquirir los Suministradores de Servicios Básicos y </w:t>
      </w:r>
      <w:r w:rsidR="00FB1622" w:rsidRPr="0065554C">
        <w:t xml:space="preserve">demás </w:t>
      </w:r>
      <w:r w:rsidRPr="0065554C">
        <w:t>Entidades Responsables de Carga a través de la Subasta, es decir, Potencia, Energía Eléctrica Acumulable o CEL.</w:t>
      </w:r>
    </w:p>
    <w:p w14:paraId="0073D93B" w14:textId="77777777" w:rsidR="00160338" w:rsidRPr="0065554C" w:rsidRDefault="00160338" w:rsidP="005E311D">
      <w:pPr>
        <w:pStyle w:val="Numeral"/>
      </w:pPr>
      <w:r w:rsidRPr="0065554C">
        <w:rPr>
          <w:b/>
        </w:rPr>
        <w:lastRenderedPageBreak/>
        <w:t>Reglamento</w:t>
      </w:r>
      <w:r w:rsidRPr="0065554C">
        <w:t xml:space="preserve">: El Reglamento de la Ley de la Industria Eléctrica publicado en el </w:t>
      </w:r>
      <w:r w:rsidR="0098101C" w:rsidRPr="0065554C">
        <w:t>Diario</w:t>
      </w:r>
      <w:r w:rsidRPr="0065554C">
        <w:t xml:space="preserve"> Oficial de la Federación el 31 de octubre de 2014.</w:t>
      </w:r>
    </w:p>
    <w:p w14:paraId="77615D5C" w14:textId="77777777" w:rsidR="00160338" w:rsidRPr="0065554C" w:rsidRDefault="00160338" w:rsidP="005E311D">
      <w:pPr>
        <w:pStyle w:val="Numeral"/>
        <w:rPr>
          <w:b/>
        </w:rPr>
      </w:pPr>
      <w:r w:rsidRPr="0065554C">
        <w:rPr>
          <w:b/>
        </w:rPr>
        <w:t>SAS</w:t>
      </w:r>
      <w:r w:rsidR="00FB1622" w:rsidRPr="0065554C">
        <w:t xml:space="preserve"> (</w:t>
      </w:r>
      <w:r w:rsidRPr="0065554C">
        <w:t>Sistema de Administración de Subastas</w:t>
      </w:r>
      <w:r w:rsidR="00FB1622" w:rsidRPr="0065554C">
        <w:t>): Sistema</w:t>
      </w:r>
      <w:r w:rsidRPr="0065554C">
        <w:t xml:space="preserve"> electrónico que permitirá </w:t>
      </w:r>
      <w:r w:rsidR="00FB1622" w:rsidRPr="0065554C">
        <w:t>registrar a</w:t>
      </w:r>
      <w:r w:rsidRPr="0065554C">
        <w:t xml:space="preserve"> los Interesados </w:t>
      </w:r>
      <w:r w:rsidR="00FB1622" w:rsidRPr="0065554C">
        <w:t xml:space="preserve">y </w:t>
      </w:r>
      <w:r w:rsidRPr="0065554C">
        <w:t xml:space="preserve">los pagos que éstos realicen para </w:t>
      </w:r>
      <w:r w:rsidR="00FB1622" w:rsidRPr="0065554C">
        <w:t>participar</w:t>
      </w:r>
      <w:r w:rsidRPr="0065554C">
        <w:t xml:space="preserve"> en la Subasta.</w:t>
      </w:r>
    </w:p>
    <w:p w14:paraId="6D4783B6" w14:textId="77777777" w:rsidR="00160338" w:rsidRPr="0065554C" w:rsidRDefault="00160338" w:rsidP="00AE675E">
      <w:pPr>
        <w:pStyle w:val="Numeral"/>
      </w:pPr>
      <w:r w:rsidRPr="0065554C">
        <w:rPr>
          <w:b/>
        </w:rPr>
        <w:t>Sitio</w:t>
      </w:r>
      <w:r w:rsidRPr="0065554C">
        <w:t>: Plataforma electrónica creada para el desarrollo de la Subasta y a la que se podrá tener acceso en la liga: http://www.cenace.gob.mx/Paginas/Publicas/MercadoOperacion/SubastasLP.aspx</w:t>
      </w:r>
    </w:p>
    <w:p w14:paraId="6B94DB12" w14:textId="77777777" w:rsidR="00160338" w:rsidRPr="0065554C" w:rsidRDefault="00160338" w:rsidP="005E311D">
      <w:pPr>
        <w:pStyle w:val="Numeral"/>
      </w:pPr>
      <w:r w:rsidRPr="0065554C">
        <w:rPr>
          <w:b/>
        </w:rPr>
        <w:t>Suministrador de Servicios Básicos:</w:t>
      </w:r>
      <w:r w:rsidRPr="0065554C">
        <w:t xml:space="preserve"> Tiene el significado que se le atribuye en el artículo 3, fracción XLVI, de la Ley de la Industria Eléctrica</w:t>
      </w:r>
      <w:r w:rsidR="00F93273" w:rsidRPr="0065554C">
        <w:t>.</w:t>
      </w:r>
    </w:p>
    <w:p w14:paraId="48A5286A" w14:textId="77777777" w:rsidR="00160338" w:rsidRPr="0065554C" w:rsidRDefault="00160338" w:rsidP="005E311D">
      <w:pPr>
        <w:pStyle w:val="Numeral"/>
      </w:pPr>
      <w:r w:rsidRPr="0065554C">
        <w:rPr>
          <w:b/>
        </w:rPr>
        <w:t>Subasta</w:t>
      </w:r>
      <w:r w:rsidRPr="0065554C">
        <w:t>: La Subasta de Largo Plazo SLP-1/201</w:t>
      </w:r>
      <w:r w:rsidR="00050593" w:rsidRPr="0065554C">
        <w:t>8</w:t>
      </w:r>
      <w:r w:rsidRPr="0065554C">
        <w:t xml:space="preserve"> convocada por el CENACE el </w:t>
      </w:r>
      <w:r w:rsidR="006470A7" w:rsidRPr="0065554C">
        <w:t>1</w:t>
      </w:r>
      <w:r w:rsidR="00B313A4" w:rsidRPr="0065554C">
        <w:t>5</w:t>
      </w:r>
      <w:r w:rsidR="006470A7" w:rsidRPr="0065554C">
        <w:t xml:space="preserve"> de marzo de 2018.</w:t>
      </w:r>
    </w:p>
    <w:p w14:paraId="030C537D" w14:textId="77777777" w:rsidR="00160338" w:rsidRPr="0065554C" w:rsidRDefault="00160338" w:rsidP="005E311D">
      <w:pPr>
        <w:pStyle w:val="Numeral"/>
        <w:rPr>
          <w:b/>
        </w:rPr>
      </w:pPr>
      <w:r w:rsidRPr="0065554C">
        <w:rPr>
          <w:b/>
          <w:szCs w:val="20"/>
        </w:rPr>
        <w:t>Tasa Social de Descuento</w:t>
      </w:r>
      <w:r w:rsidRPr="0065554C">
        <w:rPr>
          <w:szCs w:val="20"/>
        </w:rPr>
        <w:t>: Tasa</w:t>
      </w:r>
      <w:r w:rsidRPr="0065554C">
        <w:rPr>
          <w:b/>
          <w:szCs w:val="20"/>
        </w:rPr>
        <w:t xml:space="preserve"> </w:t>
      </w:r>
      <w:r w:rsidRPr="0065554C">
        <w:t xml:space="preserve">de descuento publicada por la Secretaría de Hacienda y Crédito Público </w:t>
      </w:r>
      <w:r w:rsidR="00736299" w:rsidRPr="0065554C">
        <w:t>en su portal de web el 30 de octubre de 2015</w:t>
      </w:r>
      <w:r w:rsidRPr="0065554C">
        <w:t>,</w:t>
      </w:r>
      <w:r w:rsidRPr="0065554C">
        <w:rPr>
          <w:szCs w:val="20"/>
        </w:rPr>
        <w:t xml:space="preserve"> que puede ser consultada en </w:t>
      </w:r>
      <w:hyperlink r:id="rId14" w:history="1">
        <w:r w:rsidRPr="0065554C">
          <w:rPr>
            <w:rStyle w:val="Hipervnculo"/>
            <w:color w:val="auto"/>
          </w:rPr>
          <w:t>http://www.gob.mx/shcp/documentos/tasa-social-de-descuento-tsd</w:t>
        </w:r>
      </w:hyperlink>
      <w:r w:rsidRPr="0065554C">
        <w:rPr>
          <w:szCs w:val="20"/>
        </w:rPr>
        <w:t xml:space="preserve"> </w:t>
      </w:r>
    </w:p>
    <w:p w14:paraId="0AEB81E2" w14:textId="77777777" w:rsidR="00160338" w:rsidRPr="0065554C" w:rsidRDefault="0098101C" w:rsidP="00160338">
      <w:pPr>
        <w:pStyle w:val="Texto1"/>
        <w:rPr>
          <w:lang w:val="es-MX"/>
        </w:rPr>
      </w:pPr>
      <w:r w:rsidRPr="0065554C">
        <w:rPr>
          <w:lang w:val="es-MX"/>
        </w:rPr>
        <w:t xml:space="preserve">Adicionalmente, el </w:t>
      </w:r>
      <w:r w:rsidRPr="0065554C">
        <w:rPr>
          <w:b/>
          <w:lang w:val="es-MX"/>
        </w:rPr>
        <w:t>Anexo I.2</w:t>
      </w:r>
      <w:r w:rsidRPr="0065554C">
        <w:rPr>
          <w:lang w:val="es-MX"/>
        </w:rPr>
        <w:t xml:space="preserve"> contiene un glosario de</w:t>
      </w:r>
      <w:r w:rsidR="000F4E09" w:rsidRPr="0065554C">
        <w:rPr>
          <w:lang w:val="es-MX"/>
        </w:rPr>
        <w:t xml:space="preserve"> </w:t>
      </w:r>
      <w:r w:rsidRPr="0065554C">
        <w:rPr>
          <w:lang w:val="es-MX"/>
        </w:rPr>
        <w:t xml:space="preserve">términos definidos utilizados en las Bases de Licitación para facilitar su consulta, sin que las definiciones ahí contenidas modifiquen el sentido que deban tener los términos definidos conforme a lo previsto en la Ley de la Industria Eléctrica, su Reglamento, las Bases del Mercado Eléctrico, el Manual de Subastas de Largo Plazo o el numeral 1.2. </w:t>
      </w:r>
      <w:r w:rsidR="00160338" w:rsidRPr="0065554C">
        <w:rPr>
          <w:lang w:val="es-MX"/>
        </w:rPr>
        <w:t>En caso de que exista alguna contradicción o inconsistencia en el contenido del glosario antes aludido, prevalecerá lo previsto en los instrumentos normativos antes referidos y en este numeral.</w:t>
      </w:r>
    </w:p>
    <w:p w14:paraId="07E279AC" w14:textId="77777777" w:rsidR="00160338" w:rsidRPr="0065554C" w:rsidRDefault="00160338" w:rsidP="00160338">
      <w:pPr>
        <w:pStyle w:val="Seccin"/>
      </w:pPr>
      <w:bookmarkStart w:id="31" w:name="_Toc450052160"/>
      <w:bookmarkStart w:id="32" w:name="_Toc312964131"/>
      <w:bookmarkStart w:id="33" w:name="_Toc450201402"/>
      <w:bookmarkStart w:id="34" w:name="_Toc450638566"/>
      <w:bookmarkStart w:id="35" w:name="_Toc479255705"/>
      <w:bookmarkStart w:id="36" w:name="_Toc454100224"/>
      <w:bookmarkStart w:id="37" w:name="_Toc479763747"/>
      <w:bookmarkStart w:id="38" w:name="_Toc509412993"/>
      <w:r w:rsidRPr="0065554C">
        <w:t>Reglas de interpretación</w:t>
      </w:r>
      <w:bookmarkEnd w:id="29"/>
      <w:bookmarkEnd w:id="30"/>
      <w:bookmarkEnd w:id="31"/>
      <w:bookmarkEnd w:id="32"/>
      <w:bookmarkEnd w:id="33"/>
      <w:bookmarkEnd w:id="34"/>
      <w:bookmarkEnd w:id="35"/>
      <w:bookmarkEnd w:id="36"/>
      <w:bookmarkEnd w:id="37"/>
      <w:bookmarkEnd w:id="38"/>
    </w:p>
    <w:p w14:paraId="1662794B" w14:textId="77777777" w:rsidR="00160338" w:rsidRPr="0065554C" w:rsidRDefault="00160338" w:rsidP="005E311D">
      <w:pPr>
        <w:pStyle w:val="Numeral"/>
      </w:pPr>
      <w:r w:rsidRPr="0065554C">
        <w:t>Corresponderá al CENACE interpretar las disposiciones contenidas en las Bases de Licitación, a excepción de la interpretación</w:t>
      </w:r>
      <w:r w:rsidR="00970301" w:rsidRPr="0065554C">
        <w:t xml:space="preserve"> </w:t>
      </w:r>
      <w:r w:rsidR="00D3068E" w:rsidRPr="0065554C">
        <w:t>de aquellas que correspondan a la CRE</w:t>
      </w:r>
      <w:r w:rsidR="00C75177" w:rsidRPr="0065554C">
        <w:t>.</w:t>
      </w:r>
      <w:r w:rsidR="00D3068E" w:rsidRPr="0065554C">
        <w:t xml:space="preserve"> </w:t>
      </w:r>
    </w:p>
    <w:p w14:paraId="5AD3F735" w14:textId="77777777" w:rsidR="00160338" w:rsidRPr="0065554C" w:rsidRDefault="00160338" w:rsidP="005E311D">
      <w:pPr>
        <w:pStyle w:val="Numeral"/>
      </w:pPr>
      <w:r w:rsidRPr="0065554C">
        <w:t xml:space="preserve">Los términos definidos a que hace referencia el numeral 1.2, así como </w:t>
      </w:r>
      <w:r w:rsidR="00FB1622" w:rsidRPr="0065554C">
        <w:t>en el</w:t>
      </w:r>
      <w:r w:rsidRPr="0065554C">
        <w:t xml:space="preserve"> </w:t>
      </w:r>
      <w:r w:rsidRPr="0065554C">
        <w:rPr>
          <w:b/>
        </w:rPr>
        <w:t>Anexo</w:t>
      </w:r>
      <w:r w:rsidR="00FB1622" w:rsidRPr="0065554C">
        <w:rPr>
          <w:b/>
        </w:rPr>
        <w:t xml:space="preserve"> I.2</w:t>
      </w:r>
      <w:r w:rsidRPr="0065554C">
        <w:t>, podrán utilizarse en plural o singular sin alterar su significado, siempre y cuando el contexto así lo permita.</w:t>
      </w:r>
    </w:p>
    <w:p w14:paraId="10BF91B6" w14:textId="77777777" w:rsidR="00160338" w:rsidRPr="0065554C" w:rsidRDefault="00160338" w:rsidP="005E311D">
      <w:pPr>
        <w:pStyle w:val="Numeral"/>
      </w:pPr>
      <w:r w:rsidRPr="0065554C">
        <w:t>Salvo indicación en contrario, los días señalados en este documento se entenderán como días naturales y cuando se haga referencia a año, se entenderá éste como año calendario.</w:t>
      </w:r>
    </w:p>
    <w:p w14:paraId="2045A459" w14:textId="77777777" w:rsidR="00160338" w:rsidRPr="0065554C" w:rsidRDefault="0098101C" w:rsidP="005E311D">
      <w:pPr>
        <w:pStyle w:val="Numeral"/>
      </w:pPr>
      <w:r w:rsidRPr="0065554C">
        <w:t xml:space="preserve">Para la Subasta, los escritos y comunicaciones del CENACE se considerarán como notificados, para todos los efectos legales a que haya lugar, </w:t>
      </w:r>
      <w:r w:rsidR="00055653" w:rsidRPr="0065554C">
        <w:t>el día en que hubieren sido realizad</w:t>
      </w:r>
      <w:r w:rsidR="00B4087C" w:rsidRPr="0065554C">
        <w:t>o</w:t>
      </w:r>
      <w:r w:rsidR="00055653" w:rsidRPr="0065554C">
        <w:t>s conforme a lo dispuesto en el numeral 3.2.15 de estas Bases de Licitación</w:t>
      </w:r>
      <w:r w:rsidRPr="0065554C">
        <w:t xml:space="preserve">. </w:t>
      </w:r>
      <w:r w:rsidR="00160338" w:rsidRPr="0065554C">
        <w:t xml:space="preserve">Cuando el día </w:t>
      </w:r>
      <w:r w:rsidR="00FB1622" w:rsidRPr="0065554C">
        <w:t>en que se envíe el correo electrónico sea inhábil, los escritos y comunicaciones</w:t>
      </w:r>
      <w:r w:rsidR="000F4E09" w:rsidRPr="0065554C">
        <w:t xml:space="preserve"> se </w:t>
      </w:r>
      <w:r w:rsidR="00160338" w:rsidRPr="0065554C">
        <w:t xml:space="preserve">tendrán por notificados el día hábil siguiente. </w:t>
      </w:r>
      <w:r w:rsidR="00FB1622" w:rsidRPr="0065554C">
        <w:t xml:space="preserve">Los días hábiles se definen conforme a lo señalado en el artículo 28 de la Ley Federal de Procedimiento Administrativo. </w:t>
      </w:r>
      <w:r w:rsidR="00160338" w:rsidRPr="0065554C">
        <w:t>Salvo que expresamente se prevea un plazo específico, se entenderán como horas hábiles las 24 horas de un día hábil.</w:t>
      </w:r>
    </w:p>
    <w:p w14:paraId="2ABEAAC6" w14:textId="77777777" w:rsidR="00160338" w:rsidRPr="0065554C" w:rsidRDefault="00160338" w:rsidP="005E311D">
      <w:pPr>
        <w:pStyle w:val="Numeral"/>
      </w:pPr>
      <w:r w:rsidRPr="0065554C">
        <w:lastRenderedPageBreak/>
        <w:t>Para la</w:t>
      </w:r>
      <w:r w:rsidR="000F4E09" w:rsidRPr="0065554C">
        <w:t xml:space="preserve"> </w:t>
      </w:r>
      <w:r w:rsidRPr="0065554C">
        <w:t xml:space="preserve">Subasta, los escritos y comunicaciones de los Interesados, Compradores Potenciales o Licitantes se considerarán como presentados al CENACE, para todos los efectos legales a que haya lugar, el día y hora en que conste en el acuse de recibo electrónico correspondiente emitido por el Sitio o por el CENACE. Cuando el día sea </w:t>
      </w:r>
      <w:r w:rsidR="00FB1622" w:rsidRPr="0065554C">
        <w:t>inhábil,</w:t>
      </w:r>
      <w:r w:rsidRPr="0065554C">
        <w:t xml:space="preserve"> se tendrán por notificados el día hábil siguiente.</w:t>
      </w:r>
      <w:r w:rsidR="00FB1622" w:rsidRPr="0065554C">
        <w:t xml:space="preserve"> Los días hábiles se definen conforme a lo señalado en el artículo 28 de la Ley Federal de Procedimiento Administrativo.</w:t>
      </w:r>
      <w:r w:rsidRPr="0065554C">
        <w:t xml:space="preserve"> Salvo que expresamente se prevea un plazo específico, se entenderán como horas hábiles las 24 horas de un día hábil.</w:t>
      </w:r>
    </w:p>
    <w:p w14:paraId="6FAA297F" w14:textId="77777777" w:rsidR="00160338" w:rsidRPr="0065554C" w:rsidRDefault="00160338" w:rsidP="005E311D">
      <w:pPr>
        <w:pStyle w:val="Numeral"/>
      </w:pPr>
      <w:r w:rsidRPr="0065554C">
        <w:t>Salvo que expresamente se indique otra cosa, cualquier referencia a un capítulo, sección, numeral, inciso, subinciso, apartado, anexo o, en general, a cualquier disposición, deberá entenderse realizada al capítulo, sección, numeral, inciso, subinciso, apartado, anexo o disposición correspondiente en las Bases de Licitación.</w:t>
      </w:r>
    </w:p>
    <w:p w14:paraId="6E06D67C" w14:textId="77777777" w:rsidR="00160338" w:rsidRPr="0065554C" w:rsidRDefault="00160338" w:rsidP="005E311D">
      <w:pPr>
        <w:pStyle w:val="Numeral"/>
      </w:pPr>
      <w:r w:rsidRPr="0065554C">
        <w:t>Las Bases de Licitación serán aplicadas y prevalecerán en total observancia al principio de especialidad. En tanto no sean modificadas o declaradas nulas las disposiciones de las Bases de Licitación, serán aplicadas en sus términos por el CENACE.</w:t>
      </w:r>
    </w:p>
    <w:p w14:paraId="175F3BE0" w14:textId="77777777" w:rsidR="00160338" w:rsidRPr="0065554C" w:rsidRDefault="00160338" w:rsidP="00361661">
      <w:pPr>
        <w:pStyle w:val="Captulo"/>
      </w:pPr>
      <w:bookmarkStart w:id="39" w:name="_Toc436433748"/>
      <w:r w:rsidRPr="0065554C">
        <w:lastRenderedPageBreak/>
        <w:br/>
      </w:r>
      <w:bookmarkStart w:id="40" w:name="_Toc436487844"/>
      <w:bookmarkStart w:id="41" w:name="_Toc450052162"/>
      <w:bookmarkStart w:id="42" w:name="_Toc312964132"/>
      <w:bookmarkStart w:id="43" w:name="_Toc450201404"/>
      <w:bookmarkStart w:id="44" w:name="_Toc450638567"/>
      <w:bookmarkStart w:id="45" w:name="_Toc479255706"/>
      <w:bookmarkStart w:id="46" w:name="_Toc454100225"/>
      <w:bookmarkStart w:id="47" w:name="_Toc479763748"/>
      <w:bookmarkStart w:id="48" w:name="_Toc509412994"/>
      <w:r w:rsidRPr="0065554C">
        <w:t>Características de la Subasta</w:t>
      </w:r>
      <w:bookmarkEnd w:id="39"/>
      <w:bookmarkEnd w:id="40"/>
      <w:bookmarkEnd w:id="41"/>
      <w:bookmarkEnd w:id="42"/>
      <w:bookmarkEnd w:id="43"/>
      <w:bookmarkEnd w:id="44"/>
      <w:bookmarkEnd w:id="45"/>
      <w:bookmarkEnd w:id="46"/>
      <w:bookmarkEnd w:id="47"/>
      <w:bookmarkEnd w:id="48"/>
    </w:p>
    <w:p w14:paraId="3B88B859" w14:textId="77777777" w:rsidR="00160338" w:rsidRPr="0065554C" w:rsidRDefault="00160338" w:rsidP="00D42E95">
      <w:pPr>
        <w:pStyle w:val="Seccin"/>
        <w:numPr>
          <w:ilvl w:val="1"/>
          <w:numId w:val="8"/>
        </w:numPr>
      </w:pPr>
      <w:bookmarkStart w:id="49" w:name="_Toc436487845"/>
      <w:bookmarkStart w:id="50" w:name="_Toc436433749"/>
      <w:bookmarkStart w:id="51" w:name="_Toc450052163"/>
      <w:bookmarkStart w:id="52" w:name="_Toc312964133"/>
      <w:bookmarkStart w:id="53" w:name="_Toc450201405"/>
      <w:bookmarkStart w:id="54" w:name="_Toc450638568"/>
      <w:bookmarkStart w:id="55" w:name="_Toc479255707"/>
      <w:bookmarkStart w:id="56" w:name="_Toc454100226"/>
      <w:bookmarkStart w:id="57" w:name="_Toc479763749"/>
      <w:bookmarkStart w:id="58" w:name="_Toc509412995"/>
      <w:r w:rsidRPr="0065554C">
        <w:t>Objeto</w:t>
      </w:r>
      <w:bookmarkEnd w:id="49"/>
      <w:bookmarkEnd w:id="50"/>
      <w:bookmarkEnd w:id="51"/>
      <w:bookmarkEnd w:id="52"/>
      <w:bookmarkEnd w:id="53"/>
      <w:bookmarkEnd w:id="54"/>
      <w:bookmarkEnd w:id="55"/>
      <w:bookmarkEnd w:id="56"/>
      <w:bookmarkEnd w:id="57"/>
      <w:bookmarkEnd w:id="58"/>
    </w:p>
    <w:p w14:paraId="0714FC1D" w14:textId="77777777" w:rsidR="00160338" w:rsidRPr="0065554C" w:rsidRDefault="00160338" w:rsidP="005E311D">
      <w:pPr>
        <w:pStyle w:val="Numeral"/>
      </w:pPr>
      <w:r w:rsidRPr="0065554C">
        <w:t>La Subasta tendrá como objeto:</w:t>
      </w:r>
    </w:p>
    <w:p w14:paraId="4B18867A" w14:textId="77777777" w:rsidR="00160338" w:rsidRPr="0065554C" w:rsidRDefault="00160338" w:rsidP="005E311D">
      <w:pPr>
        <w:pStyle w:val="Inciso"/>
      </w:pPr>
      <w:r w:rsidRPr="0065554C">
        <w:t xml:space="preserve">permitir que el Suministrador de Servicios Básicos celebre Contratos en forma competitiva y en condiciones de prudencia para satisfacer </w:t>
      </w:r>
      <w:r w:rsidR="00324F90" w:rsidRPr="0065554C">
        <w:t>sus</w:t>
      </w:r>
      <w:r w:rsidRPr="0065554C">
        <w:t xml:space="preserve"> necesidades de Potencia, </w:t>
      </w:r>
      <w:r w:rsidR="000D2F8A" w:rsidRPr="0065554C">
        <w:t>E</w:t>
      </w:r>
      <w:r w:rsidR="00903C2A" w:rsidRPr="0065554C">
        <w:t>nergía Eléctrica Acumulable</w:t>
      </w:r>
      <w:r w:rsidRPr="0065554C">
        <w:t xml:space="preserve"> y CEL que deba cubrir mediante la celebración de Contratos en atención a los requisitos establecidos por la CRE;</w:t>
      </w:r>
    </w:p>
    <w:p w14:paraId="06EBDB07" w14:textId="77777777" w:rsidR="00160338" w:rsidRPr="0065554C" w:rsidRDefault="00160338" w:rsidP="005E311D">
      <w:pPr>
        <w:pStyle w:val="Inciso"/>
      </w:pPr>
      <w:r w:rsidRPr="0065554C">
        <w:t xml:space="preserve">permitir que las Entidades Responsables de Carga distintas al Suministrador de Servicios Básicos puedan celebren Contratos en forma competitiva para satisfacer </w:t>
      </w:r>
      <w:r w:rsidR="00790BB7" w:rsidRPr="0065554C">
        <w:t>sus</w:t>
      </w:r>
      <w:r w:rsidRPr="0065554C">
        <w:t xml:space="preserve"> necesidades de Potencia, </w:t>
      </w:r>
      <w:r w:rsidR="000D2F8A" w:rsidRPr="0065554C">
        <w:t>Energía Eléctrica Acumulable</w:t>
      </w:r>
      <w:r w:rsidRPr="0065554C">
        <w:t xml:space="preserve"> y CEL que </w:t>
      </w:r>
      <w:r w:rsidR="00FB1622" w:rsidRPr="0065554C">
        <w:t>deban</w:t>
      </w:r>
      <w:r w:rsidRPr="0065554C">
        <w:t xml:space="preserve"> cubrir </w:t>
      </w:r>
      <w:r w:rsidR="001110FF" w:rsidRPr="0065554C">
        <w:t xml:space="preserve">mediante la celebración de Contratos </w:t>
      </w:r>
      <w:r w:rsidRPr="0065554C">
        <w:t>en atención a los requisitos establecidos por la CRE; y,</w:t>
      </w:r>
    </w:p>
    <w:p w14:paraId="213E53D1" w14:textId="77777777" w:rsidR="00160338" w:rsidRPr="0065554C" w:rsidRDefault="00160338" w:rsidP="005E311D">
      <w:pPr>
        <w:pStyle w:val="Inciso"/>
      </w:pPr>
      <w:r w:rsidRPr="0065554C">
        <w:t>permitir a quienes tengan interés en generar y vender esos Productos, competir en condiciones de transparencia para resultar asignatarios de esos Contratos y para contar con una fuente estable de pagos que contribuya a apoyar el financiamiento de las inversiones eficientes requeridas para desarrollar o repotenciar las Centrales Eléctricas a partir de las cuales puedan generarse dichos Productos.</w:t>
      </w:r>
    </w:p>
    <w:p w14:paraId="6F223C35" w14:textId="77777777" w:rsidR="00160338" w:rsidRPr="0065554C" w:rsidRDefault="00160338" w:rsidP="00160338">
      <w:pPr>
        <w:pStyle w:val="Seccin"/>
      </w:pPr>
      <w:bookmarkStart w:id="59" w:name="_Toc436487846"/>
      <w:bookmarkStart w:id="60" w:name="_Toc436433750"/>
      <w:bookmarkStart w:id="61" w:name="_Toc450052164"/>
      <w:bookmarkStart w:id="62" w:name="_Toc312964134"/>
      <w:bookmarkStart w:id="63" w:name="_Toc450201406"/>
      <w:bookmarkStart w:id="64" w:name="_Toc450638569"/>
      <w:bookmarkStart w:id="65" w:name="_Toc479255708"/>
      <w:bookmarkStart w:id="66" w:name="_Toc454100227"/>
      <w:bookmarkStart w:id="67" w:name="_Toc479763750"/>
      <w:bookmarkStart w:id="68" w:name="_Toc509412996"/>
      <w:r w:rsidRPr="0065554C">
        <w:t>Descripción de los Productos</w:t>
      </w:r>
      <w:bookmarkEnd w:id="59"/>
      <w:bookmarkEnd w:id="60"/>
      <w:bookmarkEnd w:id="61"/>
      <w:bookmarkEnd w:id="62"/>
      <w:bookmarkEnd w:id="63"/>
      <w:bookmarkEnd w:id="64"/>
      <w:bookmarkEnd w:id="65"/>
      <w:bookmarkEnd w:id="66"/>
      <w:bookmarkEnd w:id="67"/>
      <w:bookmarkEnd w:id="68"/>
    </w:p>
    <w:p w14:paraId="0F6CC1CE" w14:textId="77777777" w:rsidR="00160338" w:rsidRPr="0065554C" w:rsidRDefault="00160338" w:rsidP="005E311D">
      <w:pPr>
        <w:pStyle w:val="Numeral"/>
      </w:pPr>
      <w:r w:rsidRPr="0065554C">
        <w:t>Los Productos objeto de la Subasta son: Potencia y Energía Eléctrica Acumulable por un plazo de 15 años</w:t>
      </w:r>
      <w:r w:rsidR="00FB1622" w:rsidRPr="0065554C">
        <w:t>,</w:t>
      </w:r>
      <w:r w:rsidRPr="0065554C">
        <w:t xml:space="preserve"> y CEL por un plazo de 20 años, hasta por las cantidades que se establezcan en las Ofertas de Compra Aceptadas.</w:t>
      </w:r>
    </w:p>
    <w:p w14:paraId="5A53BBC0" w14:textId="77777777" w:rsidR="00160338" w:rsidRPr="0065554C" w:rsidRDefault="00160338" w:rsidP="005E311D">
      <w:pPr>
        <w:pStyle w:val="Numeral"/>
      </w:pPr>
      <w:r w:rsidRPr="0065554C">
        <w:t>Las Entidades Responsables de Carga podrán realizar ofertas para adquirir cantidades de Productos en proporción al mismo portafolio de Productos incluido en las Ofertas de Compra Aceptadas del Suministrador de Servicios Básicos</w:t>
      </w:r>
      <w:r w:rsidR="00FB1622" w:rsidRPr="0065554C">
        <w:t>,</w:t>
      </w:r>
      <w:r w:rsidRPr="0065554C">
        <w:t xml:space="preserve"> en función de lo previsto en el numeral 5.5.3 del Manual de Subastas de Largo Plazo.</w:t>
      </w:r>
    </w:p>
    <w:p w14:paraId="59568C44" w14:textId="77777777" w:rsidR="00426F6F" w:rsidRPr="0065554C" w:rsidRDefault="00160338" w:rsidP="005E311D">
      <w:pPr>
        <w:pStyle w:val="Numeral"/>
      </w:pPr>
      <w:r w:rsidRPr="0065554C">
        <w:t>Los Licitantes podrán realizar una o varias ofertas para vender</w:t>
      </w:r>
      <w:r w:rsidR="00426F6F" w:rsidRPr="0065554C">
        <w:t>:</w:t>
      </w:r>
    </w:p>
    <w:p w14:paraId="684FEC89" w14:textId="77777777" w:rsidR="00426F6F" w:rsidRPr="0065554C" w:rsidRDefault="00160338" w:rsidP="00D42E95">
      <w:pPr>
        <w:pStyle w:val="Numeral"/>
        <w:numPr>
          <w:ilvl w:val="0"/>
          <w:numId w:val="25"/>
        </w:numPr>
        <w:ind w:left="2410"/>
      </w:pPr>
      <w:r w:rsidRPr="0065554C">
        <w:t>los tres Productos (Potencia, Energía Eléctrica Acumulable y CEL)</w:t>
      </w:r>
      <w:r w:rsidR="00100C2D" w:rsidRPr="0065554C">
        <w:t>,</w:t>
      </w:r>
    </w:p>
    <w:p w14:paraId="5D3229D2" w14:textId="77777777" w:rsidR="00426F6F" w:rsidRPr="0065554C" w:rsidRDefault="00160338" w:rsidP="00D42E95">
      <w:pPr>
        <w:pStyle w:val="Numeral"/>
        <w:numPr>
          <w:ilvl w:val="0"/>
          <w:numId w:val="25"/>
        </w:numPr>
        <w:ind w:left="2410"/>
      </w:pPr>
      <w:r w:rsidRPr="0065554C">
        <w:t xml:space="preserve"> dos de esos Productos</w:t>
      </w:r>
      <w:r w:rsidR="00426F6F" w:rsidRPr="0065554C">
        <w:t>, en cualquier combinación</w:t>
      </w:r>
      <w:r w:rsidR="00F57DC1" w:rsidRPr="0065554C">
        <w:t>,</w:t>
      </w:r>
      <w:r w:rsidRPr="0065554C">
        <w:t xml:space="preserve"> o bien, </w:t>
      </w:r>
    </w:p>
    <w:p w14:paraId="687B4643" w14:textId="77777777" w:rsidR="00426F6F" w:rsidRPr="0065554C" w:rsidRDefault="00160338" w:rsidP="00D42E95">
      <w:pPr>
        <w:pStyle w:val="Numeral"/>
        <w:numPr>
          <w:ilvl w:val="0"/>
          <w:numId w:val="25"/>
        </w:numPr>
        <w:ind w:left="2410"/>
      </w:pPr>
      <w:r w:rsidRPr="0065554C">
        <w:t xml:space="preserve">sólo uno de </w:t>
      </w:r>
      <w:r w:rsidR="00426F6F" w:rsidRPr="0065554C">
        <w:t>los</w:t>
      </w:r>
      <w:r w:rsidRPr="0065554C">
        <w:t xml:space="preserve"> Productos</w:t>
      </w:r>
      <w:r w:rsidR="0069334F" w:rsidRPr="0065554C">
        <w:t>:</w:t>
      </w:r>
      <w:r w:rsidR="002604E5" w:rsidRPr="0065554C">
        <w:t xml:space="preserve"> Potencia o CEL.</w:t>
      </w:r>
      <w:r w:rsidR="00426F6F" w:rsidRPr="0065554C">
        <w:t xml:space="preserve"> </w:t>
      </w:r>
    </w:p>
    <w:p w14:paraId="5C436489" w14:textId="77777777" w:rsidR="00510DC3" w:rsidRPr="0065554C" w:rsidRDefault="00510DC3" w:rsidP="00D42E95">
      <w:pPr>
        <w:pStyle w:val="Numeral"/>
        <w:numPr>
          <w:ilvl w:val="0"/>
          <w:numId w:val="25"/>
        </w:numPr>
        <w:ind w:left="2410"/>
      </w:pPr>
      <w:r w:rsidRPr="0065554C">
        <w:lastRenderedPageBreak/>
        <w:t>Solo Energía Eléctrica Acumulada si la Oferta de Compra del Suministrador de Servicios Básicos presenta únicamente EEA</w:t>
      </w:r>
      <w:r w:rsidR="00D4209A" w:rsidRPr="0065554C">
        <w:t>.</w:t>
      </w:r>
    </w:p>
    <w:p w14:paraId="2074C0B3" w14:textId="77777777" w:rsidR="00160338" w:rsidRPr="0065554C" w:rsidRDefault="00426F6F" w:rsidP="005E311D">
      <w:pPr>
        <w:pStyle w:val="Numeral"/>
        <w:numPr>
          <w:ilvl w:val="0"/>
          <w:numId w:val="0"/>
        </w:numPr>
        <w:ind w:left="851"/>
      </w:pPr>
      <w:r w:rsidRPr="0065554C">
        <w:t>T</w:t>
      </w:r>
      <w:r w:rsidR="00100C2D" w:rsidRPr="0065554C">
        <w:t xml:space="preserve">odas y cada una de las ofertas </w:t>
      </w:r>
      <w:r w:rsidRPr="0065554C">
        <w:t xml:space="preserve">que presenten los Licitantes deben </w:t>
      </w:r>
      <w:r w:rsidR="00FB1622" w:rsidRPr="0065554C">
        <w:t>cumpl</w:t>
      </w:r>
      <w:r w:rsidRPr="0065554C">
        <w:t>ir</w:t>
      </w:r>
      <w:r w:rsidR="00FB1622" w:rsidRPr="0065554C">
        <w:t xml:space="preserve"> </w:t>
      </w:r>
      <w:r w:rsidR="00160338" w:rsidRPr="0065554C">
        <w:t>con lo establecido en el Manual de Subastas de Largo Plazo y las Bases de</w:t>
      </w:r>
      <w:r w:rsidR="00AB7FD4" w:rsidRPr="0065554C">
        <w:t xml:space="preserve"> </w:t>
      </w:r>
      <w:r w:rsidR="00160338" w:rsidRPr="0065554C">
        <w:t>Licitación.</w:t>
      </w:r>
      <w:r w:rsidR="00100C2D" w:rsidRPr="0065554C">
        <w:t xml:space="preserve"> </w:t>
      </w:r>
    </w:p>
    <w:p w14:paraId="3A116034" w14:textId="77777777" w:rsidR="00160338" w:rsidRPr="0065554C" w:rsidRDefault="00160338" w:rsidP="005E311D">
      <w:pPr>
        <w:pStyle w:val="Numeral"/>
      </w:pPr>
      <w:r w:rsidRPr="0065554C">
        <w:t>Cada Oferta de Venta deberá indicar el o los Productos que el Licitante ofrece vender</w:t>
      </w:r>
      <w:r w:rsidR="00FB1622" w:rsidRPr="0065554C">
        <w:t>.</w:t>
      </w:r>
      <w:r w:rsidR="0027298F" w:rsidRPr="0065554C">
        <w:t xml:space="preserve"> </w:t>
      </w:r>
      <w:r w:rsidRPr="0065554C">
        <w:t>El conjunto correspondiente será identificado como un paquete de Productos. Los Licitantes podrán condicionar cada una de sus Ofertas de Venta (o paquetes) a la aceptación de otra de sus Ofertas de Venta</w:t>
      </w:r>
      <w:r w:rsidR="00903C2A" w:rsidRPr="0065554C">
        <w:t>, o bien, excluirlas en caso de que otra de sus Ofertas de Venta sea seleccionada</w:t>
      </w:r>
      <w:r w:rsidRPr="0065554C">
        <w:t>.</w:t>
      </w:r>
    </w:p>
    <w:p w14:paraId="47A4882D" w14:textId="77777777" w:rsidR="00160338" w:rsidRPr="0065554C" w:rsidRDefault="00160338" w:rsidP="005E311D">
      <w:pPr>
        <w:pStyle w:val="Numeral"/>
      </w:pPr>
      <w:r w:rsidRPr="0065554C">
        <w:t>Se aceptarán Ofertas de Venta de CEL provenientes de Centrales Eléctricas ubicadas o que se ubicarán en el Sistema Interconectado Mulegé</w:t>
      </w:r>
      <w:r w:rsidR="00FB1622" w:rsidRPr="0065554C">
        <w:t>;</w:t>
      </w:r>
      <w:r w:rsidRPr="0065554C">
        <w:t xml:space="preserve"> no obstante, la venta de Energía Eléctrica Acumulable y Potencia para ese Sistema se sujetará a lo dispuesto por las Reglas de Mercado en lo relativo a los Pequeños Sistemas Eléctricos. La participación en la Subasta para vender CEL no confiere una excepción a dichas Reglas del Mercado.</w:t>
      </w:r>
    </w:p>
    <w:p w14:paraId="0E0905A9" w14:textId="77777777" w:rsidR="00160338" w:rsidRPr="0065554C" w:rsidRDefault="00160338" w:rsidP="00160338">
      <w:pPr>
        <w:pStyle w:val="Seccin"/>
      </w:pPr>
      <w:bookmarkStart w:id="69" w:name="_Toc436487847"/>
      <w:bookmarkStart w:id="70" w:name="_Toc436433751"/>
      <w:bookmarkStart w:id="71" w:name="_Toc450052165"/>
      <w:bookmarkStart w:id="72" w:name="_Toc312964135"/>
      <w:bookmarkStart w:id="73" w:name="_Toc450201407"/>
      <w:bookmarkStart w:id="74" w:name="_Toc450638570"/>
      <w:bookmarkStart w:id="75" w:name="_Toc479255709"/>
      <w:bookmarkStart w:id="76" w:name="_Toc454100228"/>
      <w:bookmarkStart w:id="77" w:name="_Toc479763751"/>
      <w:bookmarkStart w:id="78" w:name="_Toc509412997"/>
      <w:r w:rsidRPr="0065554C">
        <w:t>Información técnica</w:t>
      </w:r>
      <w:bookmarkEnd w:id="69"/>
      <w:bookmarkEnd w:id="70"/>
      <w:bookmarkEnd w:id="71"/>
      <w:bookmarkEnd w:id="72"/>
      <w:bookmarkEnd w:id="73"/>
      <w:bookmarkEnd w:id="74"/>
      <w:bookmarkEnd w:id="75"/>
      <w:bookmarkEnd w:id="76"/>
      <w:bookmarkEnd w:id="77"/>
      <w:bookmarkEnd w:id="78"/>
    </w:p>
    <w:p w14:paraId="0B2AD9AC" w14:textId="77777777" w:rsidR="00160338" w:rsidRPr="0065554C" w:rsidRDefault="00160338" w:rsidP="005E311D">
      <w:pPr>
        <w:pStyle w:val="Numeral"/>
      </w:pPr>
      <w:r w:rsidRPr="0065554C">
        <w:t>Las Zonas de Potencia para efectos de la Subasta son las siguientes:</w:t>
      </w:r>
    </w:p>
    <w:p w14:paraId="05ED5495" w14:textId="77777777" w:rsidR="00160338" w:rsidRPr="0065554C" w:rsidRDefault="00160338" w:rsidP="005E311D">
      <w:pPr>
        <w:pStyle w:val="Inciso"/>
      </w:pPr>
      <w:r w:rsidRPr="0065554C">
        <w:t>Sistema Interconectado Nacional.</w:t>
      </w:r>
    </w:p>
    <w:p w14:paraId="7CD29B56" w14:textId="77777777" w:rsidR="00160338" w:rsidRPr="0065554C" w:rsidRDefault="00160338" w:rsidP="005E311D">
      <w:pPr>
        <w:pStyle w:val="Inciso"/>
      </w:pPr>
      <w:r w:rsidRPr="0065554C">
        <w:t>Sistema Interconectado Baja California.</w:t>
      </w:r>
    </w:p>
    <w:p w14:paraId="369E2FD3" w14:textId="77777777" w:rsidR="00160338" w:rsidRPr="0065554C" w:rsidRDefault="00160338" w:rsidP="005E311D">
      <w:pPr>
        <w:pStyle w:val="Inciso"/>
      </w:pPr>
      <w:r w:rsidRPr="0065554C">
        <w:t>Sistema Interconectado Baja California Sur.</w:t>
      </w:r>
    </w:p>
    <w:p w14:paraId="6D9D759C" w14:textId="77777777" w:rsidR="00160338" w:rsidRPr="0065554C" w:rsidRDefault="00160338" w:rsidP="005E311D">
      <w:pPr>
        <w:pStyle w:val="Numeral"/>
      </w:pPr>
      <w:r w:rsidRPr="0065554C">
        <w:t>Las Zonas de Generación, conformadas por las Zonas de Exportación, las Zonas de Precios y las Zonas de Interconexión,</w:t>
      </w:r>
      <w:r w:rsidR="00E14EF6" w:rsidRPr="0065554C">
        <w:t xml:space="preserve"> </w:t>
      </w:r>
      <w:r w:rsidRPr="0065554C">
        <w:t>son las siguientes para efectos de la Subasta:</w:t>
      </w:r>
    </w:p>
    <w:p w14:paraId="4CB5D835" w14:textId="77777777" w:rsidR="00160338" w:rsidRPr="0065554C" w:rsidRDefault="00160338" w:rsidP="005E311D">
      <w:pPr>
        <w:pStyle w:val="Inciso"/>
      </w:pPr>
      <w:r w:rsidRPr="0065554C">
        <w:t xml:space="preserve">Zonas y Subzonas de Exportación: Las señaladas en el </w:t>
      </w:r>
      <w:r w:rsidRPr="0065554C">
        <w:rPr>
          <w:b/>
        </w:rPr>
        <w:t>Anexo II.1</w:t>
      </w:r>
      <w:r w:rsidRPr="0065554C">
        <w:t>.</w:t>
      </w:r>
    </w:p>
    <w:p w14:paraId="773450E0" w14:textId="77777777" w:rsidR="00160338" w:rsidRPr="0065554C" w:rsidRDefault="00160338" w:rsidP="005E311D">
      <w:pPr>
        <w:pStyle w:val="Subinciso"/>
      </w:pPr>
      <w:r w:rsidRPr="0065554C">
        <w:t xml:space="preserve">Las capacidades de exportación definidas en el </w:t>
      </w:r>
      <w:r w:rsidRPr="0065554C">
        <w:rPr>
          <w:b/>
        </w:rPr>
        <w:t>Anexo II.1</w:t>
      </w:r>
      <w:r w:rsidRPr="0065554C">
        <w:t xml:space="preserve"> corresponden a las que existían al momento de elaborar las Bases de Licitación y descuentan las capacidades asignadas a Centrales Eléctricas generadoras con interconexión existente o que cuentan con </w:t>
      </w:r>
      <w:r w:rsidR="00903C2A" w:rsidRPr="0065554C">
        <w:t>derechos</w:t>
      </w:r>
      <w:r w:rsidRPr="0065554C">
        <w:t xml:space="preserve"> de </w:t>
      </w:r>
      <w:r w:rsidR="00903C2A" w:rsidRPr="0065554C">
        <w:t>prelación</w:t>
      </w:r>
      <w:r w:rsidRPr="0065554C">
        <w:t xml:space="preserve">. El contenido del </w:t>
      </w:r>
      <w:r w:rsidRPr="0065554C">
        <w:rPr>
          <w:b/>
        </w:rPr>
        <w:t>Anexo II.1</w:t>
      </w:r>
      <w:r w:rsidRPr="0065554C">
        <w:t xml:space="preserve"> podrá actualizarse para reflejar las capacidades de exportación disponibles que existan el día previo a la fecha en que se publique la actualización correspondiente, la cual considerará las capacidades de los proyectos </w:t>
      </w:r>
      <w:r w:rsidR="00887CB7" w:rsidRPr="0065554C">
        <w:t>que hayan obtenido el contrato de interconexión o</w:t>
      </w:r>
      <w:r w:rsidR="00C30B55" w:rsidRPr="0065554C">
        <w:t xml:space="preserve"> tengan derechos de prelación conforme a lo establecido en el numeral 5.7.3. (a) (iv) del Manual de Subastas de Largo Plazo, </w:t>
      </w:r>
      <w:r w:rsidRPr="0065554C">
        <w:t>así como cualquier otro cambio que haya incrementado o reducido las capacidades de exportación disponibles</w:t>
      </w:r>
      <w:r w:rsidR="00C30B55" w:rsidRPr="0065554C">
        <w:t>.</w:t>
      </w:r>
    </w:p>
    <w:p w14:paraId="2D0FA999" w14:textId="77777777" w:rsidR="00160338" w:rsidRPr="0065554C" w:rsidRDefault="00160338" w:rsidP="005E311D">
      <w:pPr>
        <w:pStyle w:val="Subinciso"/>
      </w:pPr>
      <w:r w:rsidRPr="0065554C">
        <w:lastRenderedPageBreak/>
        <w:t xml:space="preserve">El CENACE podrá actualizar las capacidades de exportación disponibles definidas en el </w:t>
      </w:r>
      <w:r w:rsidRPr="0065554C">
        <w:rPr>
          <w:b/>
        </w:rPr>
        <w:t>Anexo II.1</w:t>
      </w:r>
      <w:r w:rsidRPr="0065554C">
        <w:t xml:space="preserve"> a más tardar en la fecha límite señalada para ello en el Calendario de la Subasta.</w:t>
      </w:r>
    </w:p>
    <w:p w14:paraId="4CEA0EC0" w14:textId="77777777" w:rsidR="00160338" w:rsidRPr="0065554C" w:rsidRDefault="00160338" w:rsidP="005E311D">
      <w:pPr>
        <w:pStyle w:val="Subinciso"/>
      </w:pPr>
      <w:r w:rsidRPr="0065554C">
        <w:t xml:space="preserve">Las capacidades de exportación disponibles definidas en el </w:t>
      </w:r>
      <w:r w:rsidRPr="0065554C">
        <w:rPr>
          <w:b/>
        </w:rPr>
        <w:t xml:space="preserve">Anexo II.1 </w:t>
      </w:r>
      <w:r w:rsidRPr="0065554C">
        <w:t xml:space="preserve">son las resultantes de los </w:t>
      </w:r>
      <w:r w:rsidR="001110FF" w:rsidRPr="0065554C">
        <w:t>P</w:t>
      </w:r>
      <w:r w:rsidRPr="0065554C">
        <w:t xml:space="preserve">rogramas de </w:t>
      </w:r>
      <w:r w:rsidR="001110FF" w:rsidRPr="0065554C">
        <w:t>A</w:t>
      </w:r>
      <w:r w:rsidRPr="0065554C">
        <w:t xml:space="preserve">mpliación y </w:t>
      </w:r>
      <w:r w:rsidR="001110FF" w:rsidRPr="0065554C">
        <w:t>M</w:t>
      </w:r>
      <w:r w:rsidRPr="0065554C">
        <w:t xml:space="preserve">odernización de la Red Nacional de Transmisión y las Redes Generales de Distribución </w:t>
      </w:r>
      <w:r w:rsidR="001110FF" w:rsidRPr="0065554C">
        <w:t>del Mercado Eléctrico Mayorista</w:t>
      </w:r>
      <w:r w:rsidR="00790BB7" w:rsidRPr="0065554C">
        <w:t xml:space="preserve"> 2018-2032</w:t>
      </w:r>
      <w:r w:rsidRPr="0065554C">
        <w:t xml:space="preserve">. Las capacidades disponibles están asociadas a las obras que se requieren para llevar a cabo la interconexión desde la Central Eléctrica hasta el Punto de Interconexión, las cuales son responsabilidad del Licitante. Las capacidades disponibles no están asociadas a obras de refuerzos en la Red Nacional de Transmisión o las Redes Generales de Distribución, para mantener la confiabilidad y seguridad del Sistema Eléctrico Nacional. </w:t>
      </w:r>
    </w:p>
    <w:p w14:paraId="4A44B01E" w14:textId="77777777" w:rsidR="00160338" w:rsidRPr="0065554C" w:rsidRDefault="00160338" w:rsidP="005E311D">
      <w:pPr>
        <w:pStyle w:val="Subinciso"/>
      </w:pPr>
      <w:r w:rsidRPr="0065554C">
        <w:t xml:space="preserve">La capacidad disponible definida en el </w:t>
      </w:r>
      <w:r w:rsidRPr="0065554C">
        <w:rPr>
          <w:b/>
        </w:rPr>
        <w:t>Anexo II.1</w:t>
      </w:r>
      <w:r w:rsidRPr="0065554C">
        <w:t xml:space="preserve"> no exime al Licitante de realizar las obras para la interconexión de la o las Centrales Eléctricas asociadas a las Ofertas de Venta, en las zonas elegidas, por ejemplo: construir una bahía en la subestación eléctrica, ampliar la caseta de la subestación eléctrica (comunicaciones, control, protecciones, medición), reubicar la llegada de líneas de transmisión, entre otras. Para los proyectos</w:t>
      </w:r>
      <w:r w:rsidR="00903C2A" w:rsidRPr="0065554C">
        <w:t xml:space="preserve"> con derecho de prelación</w:t>
      </w:r>
      <w:r w:rsidRPr="0065554C">
        <w:t>, las obras asociadas a la interconexión y los refuerzos que se hubieran determinado en el proceso de interconexión se efectuarán con cargo al Licitante que resulte asignatario en la Subasta.</w:t>
      </w:r>
    </w:p>
    <w:p w14:paraId="48255CF8" w14:textId="77777777" w:rsidR="00160338" w:rsidRPr="0065554C" w:rsidRDefault="00160338" w:rsidP="005E311D">
      <w:pPr>
        <w:pStyle w:val="Subinciso"/>
      </w:pPr>
      <w:r w:rsidRPr="0065554C">
        <w:t xml:space="preserve">Para las Zonas de Exportación aplicarán las restricciones de capacidad de exportación previstas en el numeral 5.7.5 (b)(iv) del Manual de Subastas de Largo Plazo. </w:t>
      </w:r>
    </w:p>
    <w:p w14:paraId="5C6C696A" w14:textId="77777777" w:rsidR="00160338" w:rsidRPr="0065554C" w:rsidRDefault="00160338" w:rsidP="005E311D">
      <w:pPr>
        <w:pStyle w:val="Subinciso"/>
      </w:pPr>
      <w:r w:rsidRPr="0065554C">
        <w:t xml:space="preserve">Para efectos de lo anterior, las restricciones se aplicarán asegurando que </w:t>
      </w:r>
      <w:r w:rsidR="001A48AF" w:rsidRPr="0065554C">
        <w:t xml:space="preserve">la cantidad </w:t>
      </w:r>
      <w:r w:rsidRPr="0065554C">
        <w:t>de producción de las Centrales Eléctricas sin prelación</w:t>
      </w:r>
      <w:r w:rsidR="001A48AF" w:rsidRPr="0065554C">
        <w:t xml:space="preserve"> destinada a honrar</w:t>
      </w:r>
      <w:r w:rsidRPr="0065554C">
        <w:t xml:space="preserve"> las Ofertas de Venta seleccionadas, no rebase</w:t>
      </w:r>
      <w:r w:rsidR="001A48AF" w:rsidRPr="0065554C">
        <w:t>n</w:t>
      </w:r>
      <w:r w:rsidRPr="0065554C">
        <w:t xml:space="preserve"> la capacidad de exportación de la Zona y Subzonas de Exportación en la que se está ofertando.</w:t>
      </w:r>
    </w:p>
    <w:p w14:paraId="4614E0BF" w14:textId="77777777" w:rsidR="00160338" w:rsidRPr="0065554C" w:rsidRDefault="00160338" w:rsidP="005E311D">
      <w:pPr>
        <w:pStyle w:val="Subinciso"/>
      </w:pPr>
      <w:r w:rsidRPr="0065554C">
        <w:t xml:space="preserve">El CENACE seguirá realizando estudios de interconexión durante el proceso de la Subasta; por lo tanto, al momento de publicar la actualización del </w:t>
      </w:r>
      <w:r w:rsidRPr="0065554C">
        <w:rPr>
          <w:b/>
        </w:rPr>
        <w:t>Anexo II.1</w:t>
      </w:r>
      <w:r w:rsidRPr="0065554C">
        <w:t>, podrán definirse nuevos límites de exportación para las Zonas y Subzonas de Exportación con capacidad definida.</w:t>
      </w:r>
    </w:p>
    <w:p w14:paraId="29FEE60A" w14:textId="77777777" w:rsidR="00160338" w:rsidRPr="0065554C" w:rsidRDefault="00160338" w:rsidP="005E311D">
      <w:pPr>
        <w:pStyle w:val="Inciso"/>
      </w:pPr>
      <w:r w:rsidRPr="0065554C">
        <w:t xml:space="preserve">Zonas de Precios: Las señaladas en el </w:t>
      </w:r>
      <w:r w:rsidRPr="0065554C">
        <w:rPr>
          <w:b/>
        </w:rPr>
        <w:t>Anexo II.2</w:t>
      </w:r>
      <w:r w:rsidRPr="0065554C">
        <w:t>, que corresponden a las 53 regiones de transmisión utilizadas por la Secretaría para desarrollar el PIIRCE</w:t>
      </w:r>
      <w:r w:rsidR="00B826E7" w:rsidRPr="0065554C">
        <w:t>.</w:t>
      </w:r>
      <w:r w:rsidR="00790BB7" w:rsidRPr="0065554C">
        <w:t xml:space="preserve"> </w:t>
      </w:r>
    </w:p>
    <w:p w14:paraId="32CBE1A1" w14:textId="77777777" w:rsidR="00160338" w:rsidRPr="0065554C" w:rsidRDefault="00160338" w:rsidP="005E311D">
      <w:pPr>
        <w:pStyle w:val="Inciso"/>
      </w:pPr>
      <w:r w:rsidRPr="0065554C">
        <w:lastRenderedPageBreak/>
        <w:t xml:space="preserve">Zonas de Interconexión: Las que corresponden a las subestaciones eléctricas o conjunto de subestaciones eléctricas que se describen en el </w:t>
      </w:r>
      <w:r w:rsidRPr="0065554C">
        <w:rPr>
          <w:b/>
        </w:rPr>
        <w:t>Anexo II.4</w:t>
      </w:r>
      <w:r w:rsidRPr="0065554C">
        <w:t xml:space="preserve"> y para las que se definen capacidades de interconexión disponibles</w:t>
      </w:r>
      <w:r w:rsidR="005A460F" w:rsidRPr="0065554C">
        <w:t>, además de las líneas de transmisión que integran la RNT</w:t>
      </w:r>
      <w:r w:rsidRPr="0065554C">
        <w:t>.</w:t>
      </w:r>
    </w:p>
    <w:p w14:paraId="529BA8B7" w14:textId="77777777" w:rsidR="00160338" w:rsidRPr="0065554C" w:rsidRDefault="00160338" w:rsidP="00A40705">
      <w:pPr>
        <w:pStyle w:val="Subinciso"/>
      </w:pPr>
      <w:r w:rsidRPr="0065554C">
        <w:t xml:space="preserve">Las capacidades de interconexión definidas en el </w:t>
      </w:r>
      <w:r w:rsidRPr="0065554C">
        <w:rPr>
          <w:b/>
        </w:rPr>
        <w:t>Anexo II.4</w:t>
      </w:r>
      <w:r w:rsidRPr="0065554C">
        <w:t xml:space="preserve"> corresponden a las que existían al momento de elaborar las Bases de Licitación y descuentan las capacidades asignadas a centrales eléctricas generadoras con interconexión existente o con </w:t>
      </w:r>
      <w:r w:rsidR="00903C2A" w:rsidRPr="0065554C">
        <w:t>derechos</w:t>
      </w:r>
      <w:r w:rsidRPr="0065554C">
        <w:t xml:space="preserve"> de </w:t>
      </w:r>
      <w:r w:rsidR="00903C2A" w:rsidRPr="0065554C">
        <w:t>prelación</w:t>
      </w:r>
      <w:r w:rsidR="00690E45" w:rsidRPr="0065554C">
        <w:t>.</w:t>
      </w:r>
      <w:r w:rsidRPr="0065554C">
        <w:t xml:space="preserve"> El contenido del </w:t>
      </w:r>
      <w:r w:rsidRPr="0065554C">
        <w:rPr>
          <w:b/>
        </w:rPr>
        <w:t>Anexo II.4</w:t>
      </w:r>
      <w:r w:rsidRPr="0065554C">
        <w:t xml:space="preserve"> podrá actualizarse para reflejar las capacidades de exportación disponibles que existan el día previo a la fecha en que se publique la actualización correspondiente, la cual considerará las capacidades de los proyectos que </w:t>
      </w:r>
      <w:r w:rsidR="00A40705" w:rsidRPr="0065554C">
        <w:t>hayan obtenido el contrato de interconexión o tengan derechos de prelación conforme a lo establecido en el numeral 5.7.3 (a)(iv) del Manual de Subastas de Largo Plazo</w:t>
      </w:r>
      <w:r w:rsidRPr="0065554C">
        <w:t>, así como cualquier otro cambio que haya incrementado o reducido las capacidades de interconexión disponibles.</w:t>
      </w:r>
    </w:p>
    <w:p w14:paraId="38A45C68" w14:textId="77777777" w:rsidR="009065B1" w:rsidRPr="0065554C" w:rsidRDefault="00160338" w:rsidP="005E311D">
      <w:pPr>
        <w:pStyle w:val="Subinciso"/>
      </w:pPr>
      <w:r w:rsidRPr="0065554C">
        <w:t xml:space="preserve">El CENACE podrá actualizar las capacidades de interconexión disponibles definidas en el </w:t>
      </w:r>
      <w:r w:rsidRPr="0065554C">
        <w:rPr>
          <w:b/>
        </w:rPr>
        <w:t>Anexo II.4</w:t>
      </w:r>
      <w:r w:rsidR="008E0094" w:rsidRPr="0065554C">
        <w:rPr>
          <w:b/>
        </w:rPr>
        <w:t xml:space="preserve"> </w:t>
      </w:r>
      <w:r w:rsidRPr="0065554C">
        <w:t xml:space="preserve">a más tardar en la fecha límite señalada para ello en el Calendario de la Subasta. </w:t>
      </w:r>
    </w:p>
    <w:p w14:paraId="1479D927" w14:textId="77777777" w:rsidR="00160338" w:rsidRPr="0065554C" w:rsidRDefault="00160338" w:rsidP="005E311D">
      <w:pPr>
        <w:pStyle w:val="Subinciso"/>
      </w:pPr>
      <w:r w:rsidRPr="0065554C">
        <w:t xml:space="preserve">Las capacidades de interconexión disponibles definidas en el </w:t>
      </w:r>
      <w:r w:rsidRPr="0065554C">
        <w:rPr>
          <w:b/>
        </w:rPr>
        <w:t>Anexo II.4</w:t>
      </w:r>
      <w:r w:rsidRPr="0065554C">
        <w:t xml:space="preserve"> son resultantes de los </w:t>
      </w:r>
      <w:r w:rsidR="00562089" w:rsidRPr="0065554C">
        <w:t>P</w:t>
      </w:r>
      <w:r w:rsidRPr="0065554C">
        <w:t xml:space="preserve">rogramas de </w:t>
      </w:r>
      <w:r w:rsidR="00562089" w:rsidRPr="0065554C">
        <w:t>A</w:t>
      </w:r>
      <w:r w:rsidRPr="0065554C">
        <w:t xml:space="preserve">mpliación y </w:t>
      </w:r>
      <w:r w:rsidR="00562089" w:rsidRPr="0065554C">
        <w:t>M</w:t>
      </w:r>
      <w:r w:rsidRPr="0065554C">
        <w:t>odernización de la Red Nacional de Transmisión y las Redes Generales de Distribución</w:t>
      </w:r>
      <w:r w:rsidR="00790BB7" w:rsidRPr="0065554C">
        <w:t xml:space="preserve"> </w:t>
      </w:r>
      <w:r w:rsidR="00562089" w:rsidRPr="0065554C">
        <w:t>del Mercado Eléctrico Mayorista</w:t>
      </w:r>
      <w:r w:rsidR="00790BB7" w:rsidRPr="0065554C">
        <w:t xml:space="preserve"> 2018-2032</w:t>
      </w:r>
      <w:r w:rsidRPr="0065554C">
        <w:t xml:space="preserve">. Las capacidades disponibles están asociadas a las obras que se requieren para llevar a cabo la interconexión desde la Central Eléctrica hasta el Punto de Interconexión, las cuales son responsabilidad del Licitante. Las capacidades disponibles no están asociadas a obras de refuerzos en la Red Nacional de Transmisión o las Redes Generales de Distribución, para mantener la confiabilidad y seguridad del Sistema Eléctrico Nacional. </w:t>
      </w:r>
    </w:p>
    <w:p w14:paraId="218C58B4" w14:textId="77777777" w:rsidR="00160338" w:rsidRPr="0065554C" w:rsidRDefault="00160338" w:rsidP="005E311D">
      <w:pPr>
        <w:pStyle w:val="Subinciso"/>
      </w:pPr>
      <w:r w:rsidRPr="0065554C">
        <w:t xml:space="preserve">La capacidad disponible definida en el </w:t>
      </w:r>
      <w:r w:rsidRPr="0065554C">
        <w:rPr>
          <w:b/>
        </w:rPr>
        <w:t>Anexo II.4</w:t>
      </w:r>
      <w:r w:rsidRPr="0065554C">
        <w:t xml:space="preserve"> no exime al Licitante de realizar las obras para la interconexión de la o las Centrales Eléctricas asociadas a las Ofertas de Venta, en las zonas elegidas, por ejemplo: construir una bahía en la subestación eléctrica, ampliar la caseta de la subestación eléctrica (comunicaciones, control, protecciones, medición), reubicar la llegada de líneas de transmisión, entre otras. Para los proyectos con </w:t>
      </w:r>
      <w:r w:rsidR="00903C2A" w:rsidRPr="0065554C">
        <w:t xml:space="preserve">derecho de </w:t>
      </w:r>
      <w:r w:rsidRPr="0065554C">
        <w:t>prelación</w:t>
      </w:r>
      <w:r w:rsidR="00EB7A0F" w:rsidRPr="0065554C">
        <w:t>,</w:t>
      </w:r>
      <w:r w:rsidR="005B4265" w:rsidRPr="0065554C">
        <w:t xml:space="preserve"> conforme a lo establecido en el numeral 5.7.3 (a)(iv) del Manual de Subastas de Largo Plazo</w:t>
      </w:r>
      <w:r w:rsidRPr="0065554C">
        <w:t xml:space="preserve">, las obras asociadas a la interconexión y los refuerzos que se hubieran determinado en el proceso de interconexión se </w:t>
      </w:r>
      <w:r w:rsidRPr="0065554C">
        <w:lastRenderedPageBreak/>
        <w:t>efectuarán con cargo al Licitante que resulte asignatario en la Subasta.</w:t>
      </w:r>
    </w:p>
    <w:p w14:paraId="2033B953" w14:textId="77777777" w:rsidR="00160338" w:rsidRPr="0065554C" w:rsidRDefault="00160338" w:rsidP="005E311D">
      <w:pPr>
        <w:pStyle w:val="Subinciso"/>
      </w:pPr>
      <w:r w:rsidRPr="0065554C">
        <w:t xml:space="preserve">Para las Zonas de Interconexión aplicarán las restricciones de capacidad de interconexión previstas en el numeral 5.7.5(b)(iv) del Manual de Subastas de Largo Plazo. </w:t>
      </w:r>
    </w:p>
    <w:p w14:paraId="7B596703" w14:textId="77777777" w:rsidR="00160338" w:rsidRPr="0065554C" w:rsidRDefault="00160338" w:rsidP="005E311D">
      <w:pPr>
        <w:pStyle w:val="Subinciso"/>
      </w:pPr>
      <w:r w:rsidRPr="0065554C">
        <w:t xml:space="preserve">Para efectos de lo anterior, las restricciones se aplicarán asegurando </w:t>
      </w:r>
      <w:r w:rsidR="00433781" w:rsidRPr="0065554C">
        <w:t xml:space="preserve">que </w:t>
      </w:r>
      <w:r w:rsidRPr="0065554C">
        <w:t>el total</w:t>
      </w:r>
      <w:r w:rsidR="00433781" w:rsidRPr="0065554C">
        <w:t xml:space="preserve"> de </w:t>
      </w:r>
      <w:r w:rsidRPr="0065554C">
        <w:t>la capacidad instalada (Capacidad</w:t>
      </w:r>
      <w:r w:rsidR="00690E45" w:rsidRPr="0065554C">
        <w:t xml:space="preserve"> de </w:t>
      </w:r>
      <w:r w:rsidRPr="0065554C">
        <w:t xml:space="preserve">Placa en MWac) de las Centrales Eléctricas sin prelación incluidas en las Ofertas de Venta seleccionadas no rebase la capacidad de interconexión </w:t>
      </w:r>
      <w:r w:rsidRPr="0065554C">
        <w:rPr>
          <w:rFonts w:ascii="Calibri" w:eastAsia="Calibri" w:hAnsi="Calibri" w:cs="Calibri"/>
        </w:rPr>
        <w:t>definida para esa Zona de Interconexión</w:t>
      </w:r>
      <w:r w:rsidRPr="0065554C">
        <w:t>.</w:t>
      </w:r>
    </w:p>
    <w:p w14:paraId="2FD1D155" w14:textId="77777777" w:rsidR="00160338" w:rsidRPr="0065554C" w:rsidRDefault="00A957F7" w:rsidP="00911BEF">
      <w:pPr>
        <w:pStyle w:val="Subinciso"/>
      </w:pPr>
      <w:r w:rsidRPr="0065554C">
        <w:t>Las Centrales Eléctricas que se interconecten bajo el criterio de mínima interconexión, no se les garantizará la disponibilidad de entrega física.</w:t>
      </w:r>
    </w:p>
    <w:tbl>
      <w:tblPr>
        <w:tblStyle w:val="Tablaconcuadrcula"/>
        <w:tblW w:w="0" w:type="auto"/>
        <w:jc w:val="right"/>
        <w:tblLook w:val="04A0" w:firstRow="1" w:lastRow="0" w:firstColumn="1" w:lastColumn="0" w:noHBand="0" w:noVBand="1"/>
      </w:tblPr>
      <w:tblGrid>
        <w:gridCol w:w="8662"/>
      </w:tblGrid>
      <w:tr w:rsidR="0065554C" w:rsidRPr="0065554C" w14:paraId="04064C5E" w14:textId="77777777" w:rsidTr="00A957F7">
        <w:trPr>
          <w:jc w:val="right"/>
        </w:trPr>
        <w:tc>
          <w:tcPr>
            <w:tcW w:w="8662" w:type="dxa"/>
            <w:shd w:val="clear" w:color="auto" w:fill="DDD9C3" w:themeFill="background2" w:themeFillShade="E6"/>
          </w:tcPr>
          <w:p w14:paraId="1F586B72" w14:textId="77777777" w:rsidR="00160338" w:rsidRPr="0065554C" w:rsidRDefault="00160338" w:rsidP="002B0C6C">
            <w:pPr>
              <w:pStyle w:val="Ejemplo"/>
            </w:pPr>
            <w:r w:rsidRPr="0065554C">
              <w:t>Ejemplos:</w:t>
            </w:r>
          </w:p>
          <w:p w14:paraId="1E1EA56B" w14:textId="77777777" w:rsidR="00160338" w:rsidRPr="0065554C" w:rsidRDefault="00160338" w:rsidP="002B0C6C">
            <w:pPr>
              <w:pStyle w:val="EjeNumer1er"/>
            </w:pPr>
            <w:r w:rsidRPr="0065554C">
              <w:t>Si la capacidad de interconexión disponible en una Zona de Interconexión es de 100 MW</w:t>
            </w:r>
            <w:r w:rsidRPr="0065554C">
              <w:rPr>
                <w:vertAlign w:val="subscript"/>
              </w:rPr>
              <w:t>ac</w:t>
            </w:r>
            <w:r w:rsidRPr="0065554C">
              <w:t xml:space="preserve"> y existen dos Ofertas de Venta, cada una con 75 MW</w:t>
            </w:r>
            <w:r w:rsidRPr="0065554C">
              <w:rPr>
                <w:vertAlign w:val="subscript"/>
              </w:rPr>
              <w:t>ac</w:t>
            </w:r>
            <w:r w:rsidRPr="0065554C">
              <w:t xml:space="preserve"> de Capacidad de Placa de Centrales Eléctricas, y ninguna de ellas con prelación calificada, en la Subasta sólo podrá resultar seleccionada una de ellas, sin importar que el precio de la Oferta de Venta que no sea seleccionada resulte más bajo que el de otras Ofertas de Venta seleccionadas en la Subasta para otras Zonas de Interconexión. </w:t>
            </w:r>
          </w:p>
          <w:p w14:paraId="18BCCBC5" w14:textId="77777777" w:rsidR="00160338" w:rsidRPr="0065554C" w:rsidRDefault="00160338" w:rsidP="002B0C6C">
            <w:pPr>
              <w:pStyle w:val="EjeNumer1er"/>
            </w:pPr>
            <w:r w:rsidRPr="0065554C">
              <w:t>Si la capacidad de interconexión disponible en una Zona de Interconexión es de 100 MW</w:t>
            </w:r>
            <w:r w:rsidRPr="0065554C">
              <w:rPr>
                <w:vertAlign w:val="subscript"/>
              </w:rPr>
              <w:t>ac</w:t>
            </w:r>
            <w:r w:rsidRPr="0065554C">
              <w:t xml:space="preserve"> y existe una Oferta de Venta con 125 MW</w:t>
            </w:r>
            <w:r w:rsidRPr="0065554C">
              <w:rPr>
                <w:vertAlign w:val="subscript"/>
              </w:rPr>
              <w:t>ac</w:t>
            </w:r>
            <w:r w:rsidRPr="0065554C">
              <w:t xml:space="preserve"> de Capacidad de Placa de Centrales Eléctricas a partir de una central sin prelación calificada, en principio</w:t>
            </w:r>
            <w:r w:rsidR="00FB1622" w:rsidRPr="0065554C">
              <w:t>,</w:t>
            </w:r>
            <w:r w:rsidRPr="0065554C">
              <w:t xml:space="preserve"> dicha Oferta de Venta no podrá resultar seleccionada en la Subasta. Sin embargo, en el proceso de precalificación la Oferta de Venta no será rechazada</w:t>
            </w:r>
            <w:r w:rsidR="00F57DC1" w:rsidRPr="0065554C">
              <w:t xml:space="preserve"> </w:t>
            </w:r>
            <w:r w:rsidRPr="0065554C">
              <w:t>ya que, como resultado de la actualización de las capacidades de interconexión disponibles, éstas podrían ser disminuidas o aumentadas, de conformidad con lo señalado en el numeral 2.3.2.</w:t>
            </w:r>
            <w:r w:rsidR="00B51920" w:rsidRPr="0065554C">
              <w:t xml:space="preserve"> </w:t>
            </w:r>
            <w:r w:rsidR="00FB1622" w:rsidRPr="0065554C">
              <w:t>En</w:t>
            </w:r>
            <w:r w:rsidRPr="0065554C">
              <w:t xml:space="preserve"> caso de que no exista un aumento, </w:t>
            </w:r>
            <w:r w:rsidR="00FB1622" w:rsidRPr="0065554C">
              <w:t>esta</w:t>
            </w:r>
            <w:r w:rsidRPr="0065554C">
              <w:t xml:space="preserve"> Oferta de Venta, </w:t>
            </w:r>
            <w:r w:rsidR="00FB1622" w:rsidRPr="0065554C">
              <w:t>a pesar de contar</w:t>
            </w:r>
            <w:r w:rsidRPr="0065554C">
              <w:t xml:space="preserve"> con Constancia de Precalificación, no podrá resultar seleccionada en la Subasta debido a las restricciones previstas en el numeral 5.7.5(b)(iv) del Manual</w:t>
            </w:r>
            <w:r w:rsidR="00E47D1E" w:rsidRPr="0065554C">
              <w:t xml:space="preserve"> de Subastas de Largo Plazo.</w:t>
            </w:r>
            <w:r w:rsidRPr="0065554C">
              <w:t xml:space="preserve"> </w:t>
            </w:r>
          </w:p>
          <w:p w14:paraId="1DE20C80" w14:textId="77777777" w:rsidR="00160338" w:rsidRPr="0065554C" w:rsidRDefault="00160338" w:rsidP="002B0C6C">
            <w:pPr>
              <w:pStyle w:val="EjeNumer1er"/>
              <w:numPr>
                <w:ilvl w:val="0"/>
                <w:numId w:val="0"/>
              </w:numPr>
              <w:spacing w:before="0" w:after="0"/>
              <w:ind w:left="720" w:right="335"/>
            </w:pPr>
          </w:p>
        </w:tc>
      </w:tr>
    </w:tbl>
    <w:p w14:paraId="00AC58AA" w14:textId="77777777" w:rsidR="00160338" w:rsidRPr="0065554C" w:rsidRDefault="00160338" w:rsidP="005E311D">
      <w:pPr>
        <w:pStyle w:val="Inciso"/>
      </w:pPr>
      <w:r w:rsidRPr="0065554C">
        <w:t xml:space="preserve">La capacidad de interconexión para las Centrales Eléctricas con </w:t>
      </w:r>
      <w:r w:rsidR="00903C2A" w:rsidRPr="0065554C">
        <w:t>prelación calificada</w:t>
      </w:r>
      <w:r w:rsidRPr="0065554C">
        <w:t xml:space="preserve"> se considera reservada para ellas y se excluirá de la capacidad de interconexión disponible definida por el CENACE en el </w:t>
      </w:r>
      <w:r w:rsidRPr="0065554C">
        <w:rPr>
          <w:b/>
        </w:rPr>
        <w:t>Anexo II.4.</w:t>
      </w:r>
      <w:r w:rsidRPr="0065554C">
        <w:t xml:space="preserve"> Por lo tanto, no es necesario que exista capacidad de interconexión disponible para que en la Subasta puedan resultar seleccionadas Ofertas de Venta a partir de Centrales Eléctricas con </w:t>
      </w:r>
      <w:r w:rsidR="00903C2A" w:rsidRPr="0065554C">
        <w:t>prelación calificada.</w:t>
      </w:r>
      <w:r w:rsidRPr="0065554C">
        <w:t xml:space="preserve"> La selección de las Ofertas de Venta a partir de Centrales Eléctricas con prelación calificada no afectará la cantidad de capacidad de interconexión disponible para otras Ofertas de Venta. </w:t>
      </w:r>
    </w:p>
    <w:p w14:paraId="6ED2332B" w14:textId="77777777" w:rsidR="00160338" w:rsidRPr="0065554C" w:rsidRDefault="00160338" w:rsidP="00160338">
      <w:pPr>
        <w:rPr>
          <w:sz w:val="2"/>
        </w:rPr>
      </w:pPr>
    </w:p>
    <w:tbl>
      <w:tblPr>
        <w:tblStyle w:val="Tablaconcuadrcula"/>
        <w:tblW w:w="8505" w:type="dxa"/>
        <w:tblInd w:w="1526" w:type="dxa"/>
        <w:tblLook w:val="04A0" w:firstRow="1" w:lastRow="0" w:firstColumn="1" w:lastColumn="0" w:noHBand="0" w:noVBand="1"/>
      </w:tblPr>
      <w:tblGrid>
        <w:gridCol w:w="8505"/>
      </w:tblGrid>
      <w:tr w:rsidR="0065554C" w:rsidRPr="0065554C" w14:paraId="6A3D5960" w14:textId="77777777" w:rsidTr="00911BEF">
        <w:tc>
          <w:tcPr>
            <w:tcW w:w="8505" w:type="dxa"/>
            <w:shd w:val="clear" w:color="auto" w:fill="DDD9C3" w:themeFill="background2" w:themeFillShade="E6"/>
          </w:tcPr>
          <w:p w14:paraId="1101E86B" w14:textId="77777777" w:rsidR="00160338" w:rsidRPr="0065554C" w:rsidRDefault="00160338" w:rsidP="002B0C6C">
            <w:pPr>
              <w:pStyle w:val="Ejemplo"/>
            </w:pPr>
            <w:r w:rsidRPr="0065554C">
              <w:t>Ejemplos:</w:t>
            </w:r>
          </w:p>
          <w:p w14:paraId="113E1030" w14:textId="77777777" w:rsidR="00160338" w:rsidRPr="0065554C" w:rsidRDefault="00160338" w:rsidP="00D42E95">
            <w:pPr>
              <w:pStyle w:val="EjeNumer1er"/>
              <w:numPr>
                <w:ilvl w:val="0"/>
                <w:numId w:val="15"/>
              </w:numPr>
              <w:ind w:left="601" w:hanging="284"/>
            </w:pPr>
            <w:r w:rsidRPr="0065554C">
              <w:lastRenderedPageBreak/>
              <w:t>Si la capacidad de interconexión disponible en una Zona de Interconexión es de 100 MW</w:t>
            </w:r>
            <w:r w:rsidR="00E47D1E" w:rsidRPr="0065554C">
              <w:rPr>
                <w:vertAlign w:val="subscript"/>
              </w:rPr>
              <w:t>ac</w:t>
            </w:r>
            <w:r w:rsidRPr="0065554C">
              <w:t xml:space="preserve"> y existen dos Ofertas de Venta con 75 MW</w:t>
            </w:r>
            <w:r w:rsidR="00E47D1E" w:rsidRPr="0065554C">
              <w:rPr>
                <w:vertAlign w:val="subscript"/>
              </w:rPr>
              <w:t>ac</w:t>
            </w:r>
            <w:r w:rsidRPr="0065554C">
              <w:t xml:space="preserve"> de Capacidad de Placa de Centrales Eléctricas cada una,</w:t>
            </w:r>
            <w:r w:rsidR="00FB1622" w:rsidRPr="0065554C">
              <w:t xml:space="preserve"> una</w:t>
            </w:r>
            <w:r w:rsidRPr="0065554C">
              <w:t xml:space="preserve"> a partir de una central sin prelación y otra a partir de una central con prelación, en la Subasta podrán resultar seleccionadas ambas ofertas, debido a que la oferta con </w:t>
            </w:r>
            <w:r w:rsidR="00FB1622" w:rsidRPr="0065554C">
              <w:t>contrato de interconexión</w:t>
            </w:r>
            <w:r w:rsidRPr="0065554C">
              <w:t xml:space="preserve"> no utilizará ninguna parte de los 100 MW</w:t>
            </w:r>
            <w:r w:rsidR="00E47D1E" w:rsidRPr="0065554C">
              <w:rPr>
                <w:vertAlign w:val="subscript"/>
              </w:rPr>
              <w:t>ac</w:t>
            </w:r>
            <w:r w:rsidRPr="0065554C">
              <w:t xml:space="preserve"> de capacidad de interconexión disponibles.</w:t>
            </w:r>
          </w:p>
          <w:p w14:paraId="14FFC793" w14:textId="77777777" w:rsidR="00160338" w:rsidRPr="0065554C" w:rsidRDefault="00160338" w:rsidP="002B0C6C">
            <w:pPr>
              <w:pStyle w:val="EjeNumer1er"/>
              <w:ind w:left="567" w:hanging="284"/>
            </w:pPr>
            <w:r w:rsidRPr="0065554C">
              <w:t>Si la capacidad de interconexión en una Zona de Interconexión es de 100 MW</w:t>
            </w:r>
            <w:r w:rsidR="00E47D1E" w:rsidRPr="0065554C">
              <w:rPr>
                <w:vertAlign w:val="subscript"/>
              </w:rPr>
              <w:t>ac</w:t>
            </w:r>
            <w:r w:rsidRPr="0065554C">
              <w:t xml:space="preserve"> y existe una oferta de 125 MW</w:t>
            </w:r>
            <w:r w:rsidR="00E47D1E" w:rsidRPr="0065554C">
              <w:rPr>
                <w:vertAlign w:val="subscript"/>
              </w:rPr>
              <w:t>ac</w:t>
            </w:r>
            <w:r w:rsidRPr="0065554C">
              <w:t xml:space="preserve"> a partir de una Central Eléctrica con prelación, dicha oferta puede resultar seleccionada en la Subasta, dado que la restricción en la capacidad de interconexión no se le aplica a esa Central Eléctrica porque ya cuenta con prelación.</w:t>
            </w:r>
          </w:p>
          <w:p w14:paraId="3398067B" w14:textId="77777777" w:rsidR="00160338" w:rsidRPr="0065554C" w:rsidRDefault="00160338" w:rsidP="002B0C6C">
            <w:pPr>
              <w:pStyle w:val="EjeNumer1er"/>
              <w:numPr>
                <w:ilvl w:val="0"/>
                <w:numId w:val="0"/>
              </w:numPr>
              <w:spacing w:before="0" w:after="0"/>
              <w:ind w:left="567" w:right="335"/>
            </w:pPr>
          </w:p>
        </w:tc>
      </w:tr>
    </w:tbl>
    <w:p w14:paraId="4E9A96A9" w14:textId="77777777" w:rsidR="00160338" w:rsidRPr="0065554C" w:rsidRDefault="00160338" w:rsidP="005E311D">
      <w:pPr>
        <w:pStyle w:val="Inciso"/>
      </w:pPr>
      <w:r w:rsidRPr="0065554C">
        <w:t xml:space="preserve">Podrán existir puntos de interconexión que no </w:t>
      </w:r>
      <w:r w:rsidR="00700833" w:rsidRPr="0065554C">
        <w:t xml:space="preserve">se encuentren publicados en el </w:t>
      </w:r>
      <w:r w:rsidR="003B5C25" w:rsidRPr="0065554C">
        <w:rPr>
          <w:b/>
        </w:rPr>
        <w:t>Anexo</w:t>
      </w:r>
      <w:r w:rsidR="00700833" w:rsidRPr="0065554C">
        <w:rPr>
          <w:b/>
        </w:rPr>
        <w:t xml:space="preserve"> II.4</w:t>
      </w:r>
      <w:r w:rsidRPr="0065554C">
        <w:t>, o bien, cuya Zona de Interconexión no tiene una capacidad de interconexión disponible definida,</w:t>
      </w:r>
      <w:r w:rsidR="00B51920" w:rsidRPr="0065554C">
        <w:t xml:space="preserve"> </w:t>
      </w:r>
      <w:r w:rsidRPr="0065554C">
        <w:t>circunstancia</w:t>
      </w:r>
      <w:r w:rsidR="00FB1622" w:rsidRPr="0065554C">
        <w:t xml:space="preserve"> que</w:t>
      </w:r>
      <w:r w:rsidRPr="0065554C">
        <w:t xml:space="preserve"> se identificará con la etiqueta “SIN ESTUDIOS DE LÍMITE”, que significa que el CENACE no cuenta con estudios de límite de interconexión para esos puntos</w:t>
      </w:r>
      <w:r w:rsidR="00E6750C" w:rsidRPr="0065554C">
        <w:t xml:space="preserve"> al momento de la publicación de la versión final de las Bases de Licitación</w:t>
      </w:r>
      <w:r w:rsidRPr="0065554C">
        <w:t>. En este caso se deberá considerar lo siguiente:</w:t>
      </w:r>
    </w:p>
    <w:p w14:paraId="1B92A29F" w14:textId="77777777" w:rsidR="00160338" w:rsidRPr="0065554C" w:rsidRDefault="00160338" w:rsidP="005E311D">
      <w:pPr>
        <w:pStyle w:val="Subinciso"/>
      </w:pPr>
      <w:r w:rsidRPr="0065554C">
        <w:t xml:space="preserve">Podrán resultar seleccionadas Ofertas de Venta </w:t>
      </w:r>
      <w:r w:rsidR="00700833" w:rsidRPr="0065554C">
        <w:t>honradas con</w:t>
      </w:r>
      <w:r w:rsidRPr="0065554C">
        <w:t xml:space="preserve"> Centrales Eléctricas sin restricción alguna sobre su </w:t>
      </w:r>
      <w:r w:rsidR="00F57DC1" w:rsidRPr="0065554C">
        <w:t xml:space="preserve">Capacidad de </w:t>
      </w:r>
      <w:r w:rsidR="009806D3" w:rsidRPr="0065554C">
        <w:t xml:space="preserve">Placa </w:t>
      </w:r>
      <w:r w:rsidRPr="0065554C">
        <w:t>en corriente alterna (MWac).</w:t>
      </w:r>
    </w:p>
    <w:p w14:paraId="63755D57" w14:textId="77777777" w:rsidR="00160338" w:rsidRPr="0065554C" w:rsidRDefault="00160338" w:rsidP="005E311D">
      <w:pPr>
        <w:pStyle w:val="Subinciso"/>
      </w:pPr>
      <w:r w:rsidRPr="0065554C">
        <w:t xml:space="preserve">En este </w:t>
      </w:r>
      <w:r w:rsidR="00B51920" w:rsidRPr="0065554C">
        <w:t>caso, la</w:t>
      </w:r>
      <w:r w:rsidRPr="0065554C">
        <w:t xml:space="preserve"> prelación no será relevante para la selección de Ofertas de Venta, ya que todas </w:t>
      </w:r>
      <w:r w:rsidRPr="0065554C">
        <w:rPr>
          <w:rFonts w:ascii="Calibri" w:eastAsia="Calibri" w:hAnsi="Calibri" w:cs="Calibri"/>
        </w:rPr>
        <w:t xml:space="preserve">las Ofertas de Venta que seleccionen una Zona de Interconexión etiquetada como “SIN ESTUDIOS DE LÍMITE” </w:t>
      </w:r>
      <w:r w:rsidRPr="0065554C">
        <w:t>competirán en la Subasta sin restricciones respecto a la capacidad de interconexión.</w:t>
      </w:r>
    </w:p>
    <w:p w14:paraId="288AB98F" w14:textId="77777777" w:rsidR="00160338" w:rsidRPr="0065554C" w:rsidRDefault="00160338" w:rsidP="005E311D">
      <w:pPr>
        <w:pStyle w:val="Subinciso"/>
      </w:pPr>
      <w:r w:rsidRPr="0065554C">
        <w:t xml:space="preserve">Para las Ofertas de Venta que elijan interconectarse en Zonas de Interconexión etiquetadas como “SIN ESTUDIOS DE LÍMITE” o en Puntos de Interconexión que no estén incluidos en el </w:t>
      </w:r>
      <w:r w:rsidRPr="0065554C">
        <w:rPr>
          <w:b/>
        </w:rPr>
        <w:t>Anexo II.4,</w:t>
      </w:r>
      <w:r w:rsidRPr="0065554C">
        <w:t xml:space="preserve"> </w:t>
      </w:r>
      <w:r w:rsidR="00FB1622" w:rsidRPr="0065554C">
        <w:t>cuando</w:t>
      </w:r>
      <w:r w:rsidRPr="0065554C">
        <w:t xml:space="preserve"> se requieran obras de refuerzo en la Red Nacional de Transmisión y las Redes Generales de Distribución asociadas al proyecto con el fin de no deteriorar la confiablidad y seguridad del Sistema Eléctrico Nacional, el Licitante absorberá el costo de dichas obras en caso de que su Oferta de Venta sea seleccionada como ganadora en la Subasta y encuadre en ese supuesto, salvo que dichos refuerzos ya se encuentren incluidos en el PRODESEN vigente. Por esa razón, los Interesados que se encuentren en este supuesto deberán sujetarse a lo previsto en el numeral 5.2.2 incisos (</w:t>
      </w:r>
      <w:r w:rsidR="006B413C" w:rsidRPr="0065554C">
        <w:t>p</w:t>
      </w:r>
      <w:r w:rsidRPr="0065554C">
        <w:t>) y (</w:t>
      </w:r>
      <w:r w:rsidR="006B413C" w:rsidRPr="0065554C">
        <w:t>q</w:t>
      </w:r>
      <w:r w:rsidR="00F57DC1" w:rsidRPr="0065554C">
        <w:t>)</w:t>
      </w:r>
      <w:r w:rsidRPr="0065554C">
        <w:t>.</w:t>
      </w:r>
    </w:p>
    <w:p w14:paraId="6CFD6C74" w14:textId="77777777" w:rsidR="00160338" w:rsidRPr="0065554C" w:rsidRDefault="00160338" w:rsidP="005E311D">
      <w:pPr>
        <w:pStyle w:val="Subinciso"/>
      </w:pPr>
      <w:r w:rsidRPr="0065554C">
        <w:t xml:space="preserve">El CENACE seguirá realizando estudios de interconexión durante el proceso de la Subasta, por lo tanto, al momento de publicar la actualización del </w:t>
      </w:r>
      <w:r w:rsidRPr="0065554C">
        <w:rPr>
          <w:b/>
        </w:rPr>
        <w:t>Anexo II.4</w:t>
      </w:r>
      <w:r w:rsidRPr="0065554C">
        <w:t xml:space="preserve">, podrán definirse nuevos límites de interconexión para esas Zonas de Interconexión con capacidad definida. </w:t>
      </w:r>
    </w:p>
    <w:p w14:paraId="51367F3F" w14:textId="77777777" w:rsidR="00700833" w:rsidRPr="0065554C" w:rsidRDefault="00700833" w:rsidP="00DE002C">
      <w:pPr>
        <w:pStyle w:val="Inciso"/>
      </w:pPr>
      <w:r w:rsidRPr="0065554C">
        <w:lastRenderedPageBreak/>
        <w:t>Si la capacidad se ha definido en cero (0) para determinada Zona de Interconexión, en dicha zona de interconexión no podrá resultar seleccionada ninguna Oferta de Venta que sea honrada con centrales eléctricas sin prelación calificada.</w:t>
      </w:r>
    </w:p>
    <w:p w14:paraId="32BC7D50" w14:textId="77777777" w:rsidR="00160338" w:rsidRPr="0065554C" w:rsidRDefault="00160338" w:rsidP="005E311D">
      <w:pPr>
        <w:pStyle w:val="Numeral"/>
      </w:pPr>
      <w:r w:rsidRPr="0065554C">
        <w:t xml:space="preserve">Los criterios que se utilizarán en la Subasta para identificar la Zonas de Precios que se asignarán a las Centrales Eléctricas que se interconecten en aperturas de línea son los siguientes: </w:t>
      </w:r>
    </w:p>
    <w:p w14:paraId="04202F59" w14:textId="77777777" w:rsidR="00160338" w:rsidRPr="0065554C" w:rsidRDefault="00160338" w:rsidP="005E311D">
      <w:pPr>
        <w:pStyle w:val="Inciso"/>
      </w:pPr>
      <w:r w:rsidRPr="0065554C">
        <w:t xml:space="preserve">Si una Central Eléctrica se interconecta directamente a una subestación incluida en el </w:t>
      </w:r>
      <w:r w:rsidRPr="0065554C">
        <w:rPr>
          <w:b/>
        </w:rPr>
        <w:t>Anexo II.4</w:t>
      </w:r>
      <w:r w:rsidRPr="0065554C">
        <w:t xml:space="preserve">, dicha Central Eléctrica pertenecerá a la misma Zona de Precios a la que pertenece la subestación eléctrica. </w:t>
      </w:r>
    </w:p>
    <w:p w14:paraId="61C50F2B" w14:textId="77777777" w:rsidR="00160338" w:rsidRPr="0065554C" w:rsidRDefault="00160338" w:rsidP="005E311D">
      <w:pPr>
        <w:pStyle w:val="Inciso"/>
      </w:pPr>
      <w:r w:rsidRPr="0065554C">
        <w:t xml:space="preserve">Los Puntos de Interconexión no incluidos en el </w:t>
      </w:r>
      <w:r w:rsidRPr="0065554C">
        <w:rPr>
          <w:b/>
        </w:rPr>
        <w:t>Anexo II.4</w:t>
      </w:r>
      <w:r w:rsidRPr="0065554C" w:rsidDel="00E86847">
        <w:t xml:space="preserve"> </w:t>
      </w:r>
      <w:r w:rsidR="00E56942" w:rsidRPr="0065554C">
        <w:t xml:space="preserve">y las líneas de transmisión que </w:t>
      </w:r>
      <w:r w:rsidR="00353881" w:rsidRPr="0065554C">
        <w:t xml:space="preserve">unen dos subestaciones no incluidas en el </w:t>
      </w:r>
      <w:r w:rsidR="00353881" w:rsidRPr="0065554C">
        <w:rPr>
          <w:b/>
        </w:rPr>
        <w:t xml:space="preserve">Anexo II.4, </w:t>
      </w:r>
      <w:r w:rsidRPr="0065554C">
        <w:rPr>
          <w:rFonts w:ascii="Calibri" w:eastAsia="Calibri" w:hAnsi="Calibri" w:cs="Calibri"/>
        </w:rPr>
        <w:t>serán considerados como con etiqueta “SIN ESTUDIOS DE LÍMITE”;</w:t>
      </w:r>
      <w:r w:rsidRPr="0065554C">
        <w:t xml:space="preserve"> por lo </w:t>
      </w:r>
      <w:r w:rsidR="00B51920" w:rsidRPr="0065554C">
        <w:t>que,</w:t>
      </w:r>
      <w:r w:rsidRPr="0065554C">
        <w:t xml:space="preserve"> al integrar sus Ofertas de Venta, los Licitantes deberán considerar que el hecho de participar en la Subasta no garantiza la disponibilidad de la capacidad </w:t>
      </w:r>
      <w:r w:rsidRPr="0065554C">
        <w:rPr>
          <w:rFonts w:ascii="Calibri" w:eastAsia="Calibri" w:hAnsi="Calibri" w:cs="Calibri"/>
        </w:rPr>
        <w:t xml:space="preserve">ofertada y que existe </w:t>
      </w:r>
      <w:r w:rsidR="00903C2A" w:rsidRPr="0065554C">
        <w:rPr>
          <w:rFonts w:ascii="Calibri" w:eastAsia="Calibri" w:hAnsi="Calibri" w:cs="Calibri"/>
        </w:rPr>
        <w:t>un riesgo elevado</w:t>
      </w:r>
      <w:r w:rsidRPr="0065554C">
        <w:rPr>
          <w:rFonts w:ascii="Calibri" w:eastAsia="Calibri" w:hAnsi="Calibri" w:cs="Calibri"/>
        </w:rPr>
        <w:t xml:space="preserve"> de que </w:t>
      </w:r>
      <w:r w:rsidR="005963DE" w:rsidRPr="0065554C">
        <w:rPr>
          <w:rFonts w:ascii="Calibri" w:eastAsia="Calibri" w:hAnsi="Calibri" w:cs="Calibri"/>
        </w:rPr>
        <w:t>deberán</w:t>
      </w:r>
      <w:r w:rsidRPr="0065554C">
        <w:rPr>
          <w:rFonts w:ascii="Calibri" w:eastAsia="Calibri" w:hAnsi="Calibri" w:cs="Calibri"/>
        </w:rPr>
        <w:t xml:space="preserve"> absorber el costo de los refuerzos en la Red Nacional de Transmisión o en las Redes Generales de Distribución</w:t>
      </w:r>
      <w:r w:rsidRPr="0065554C">
        <w:t>.</w:t>
      </w:r>
    </w:p>
    <w:p w14:paraId="5FE3DA68" w14:textId="77777777" w:rsidR="00160338" w:rsidRPr="0065554C" w:rsidRDefault="00160338" w:rsidP="005E311D">
      <w:pPr>
        <w:pStyle w:val="Inciso"/>
      </w:pPr>
      <w:r w:rsidRPr="0065554C">
        <w:t xml:space="preserve">Si para interconectar una Central Eléctrica se requiere abrir una línea de transmisión, resultará aplicable alguna de las reglas definidas en el </w:t>
      </w:r>
      <w:r w:rsidRPr="0065554C">
        <w:rPr>
          <w:b/>
        </w:rPr>
        <w:t>Anexo II.6</w:t>
      </w:r>
      <w:r w:rsidR="00B1706D" w:rsidRPr="0065554C">
        <w:rPr>
          <w:b/>
        </w:rPr>
        <w:t xml:space="preserve"> </w:t>
      </w:r>
      <w:r w:rsidR="00B1706D" w:rsidRPr="0065554C">
        <w:t>para determinar la Zona de Exportación y/o Subzona de Exportación y/o Zona de Precio</w:t>
      </w:r>
      <w:r w:rsidRPr="0065554C">
        <w:rPr>
          <w:b/>
        </w:rPr>
        <w:t>.</w:t>
      </w:r>
      <w:r w:rsidRPr="0065554C">
        <w:t xml:space="preserve"> </w:t>
      </w:r>
    </w:p>
    <w:p w14:paraId="433EB64D" w14:textId="77777777" w:rsidR="00160338" w:rsidRPr="0065554C" w:rsidRDefault="00160338" w:rsidP="005E311D">
      <w:pPr>
        <w:pStyle w:val="Numeral"/>
      </w:pPr>
      <w:r w:rsidRPr="0065554C">
        <w:t xml:space="preserve">Para fines ilustrativos, en el </w:t>
      </w:r>
      <w:r w:rsidRPr="0065554C">
        <w:rPr>
          <w:b/>
        </w:rPr>
        <w:t>Anexo II.7</w:t>
      </w:r>
      <w:r w:rsidRPr="0065554C">
        <w:t xml:space="preserve"> se presentan figuras con la información geográfica de las Zonas de Potencia y de las Zonas de Generación.</w:t>
      </w:r>
    </w:p>
    <w:p w14:paraId="57E47EBD" w14:textId="77777777" w:rsidR="00160338" w:rsidRPr="0065554C" w:rsidRDefault="00160338" w:rsidP="005E311D">
      <w:pPr>
        <w:pStyle w:val="Numeral"/>
      </w:pPr>
      <w:r w:rsidRPr="0065554C">
        <w:t>Para efectos de la Subasta y con la finalidad de calcular las Diferencias Esperadas y los Factores de Ajuste Horarios que se utilizarán conforme a lo señalado en los numerales 2.3.6 y 2.3.7 siguientes, se estimaron los Precios Marginales Locales para cada Zona de Precios con base en el PIIRCE. Estos Precios Marginales Locales, así como el monto de las Diferencias Esperadas y de los Factores de Ajuste Horario se encuentran disponibles para su consulta en el siguiente vínculo electrónico</w:t>
      </w:r>
      <w:r w:rsidR="005963DE" w:rsidRPr="0065554C" w:rsidDel="005963DE">
        <w:t xml:space="preserve"> </w:t>
      </w:r>
      <w:r w:rsidRPr="0065554C">
        <w:t xml:space="preserve">: </w:t>
      </w:r>
      <w:hyperlink r:id="rId15" w:history="1">
        <w:r w:rsidRPr="0065554C">
          <w:rPr>
            <w:rStyle w:val="Hipervnculo"/>
            <w:color w:val="auto"/>
          </w:rPr>
          <w:t>http://www.cenace.gob.mx/Paginas/Publicas/MercadoOperacion/SubastasLP.aspx</w:t>
        </w:r>
      </w:hyperlink>
    </w:p>
    <w:p w14:paraId="73DEFF89" w14:textId="77777777" w:rsidR="00160338" w:rsidRPr="0065554C" w:rsidRDefault="00160338" w:rsidP="005E311D">
      <w:pPr>
        <w:pStyle w:val="Numeral"/>
      </w:pPr>
      <w:r w:rsidRPr="0065554C">
        <w:t>Las Diferencias Esperadas correspondientes a cada Zona de Precios se utilizarán en la Subasta para la evaluación de las ofertas económicas. El cálculo se realizó conforme a la fórmula señalada en el numeral 2.8.5(c)(i) del Manual de Subastas de Largo Plazo, donde la Tasa Social de Descuento es del 10% real. Las Diferencias Esperadas están expresadas en Dólares por MWh, por lo que para efectos de conversión a moneda nacional aplicará el tipo de cambio publicado en el Diario Oficial de la Federación el quinto día hábil anterior a la fecha en que deban presentarse la oferta económica de la Oferta de Venta, de acuerdo con el Calendario de la Subasta.</w:t>
      </w:r>
    </w:p>
    <w:p w14:paraId="4CFE13AB" w14:textId="77777777" w:rsidR="00160338" w:rsidRPr="0065554C" w:rsidRDefault="00160338" w:rsidP="005E311D">
      <w:pPr>
        <w:pStyle w:val="Numeral"/>
      </w:pPr>
      <w:r w:rsidRPr="0065554C">
        <w:t xml:space="preserve">Los Factores de Ajuste Horarios correspondientes a cada Zona de Precios se utilizarán para calcular los pagos de ajuste mensuales de Energía Eléctrica Acumulable. El cálculo se realizó conforme a la fórmula señalada en la numeral 2.8.5(d)(iv) del Manual de Subastas de Largo Plazo. Los Factores de Ajuste Horarios están expresados en Dólares por MWh, por lo que </w:t>
      </w:r>
      <w:r w:rsidRPr="0065554C">
        <w:lastRenderedPageBreak/>
        <w:t>para efectos de conversión a moneda nacional aplicará el tipo de cambio indicado para ello en el Contrato, de acuerdo a lo previsto en el modelo de contrato correspondiente.</w:t>
      </w:r>
    </w:p>
    <w:p w14:paraId="4A456C59" w14:textId="77777777" w:rsidR="00160338" w:rsidRPr="0065554C" w:rsidRDefault="00160338" w:rsidP="005E311D">
      <w:pPr>
        <w:pStyle w:val="Numeral"/>
      </w:pPr>
      <w:r w:rsidRPr="0065554C">
        <w:t xml:space="preserve">Con base en la información histórica y para efectos de la Subasta se calcularon de forma indicativa las horas críticas para el Sistema Interconectado Nacional, para el Sistema Interconectado Baja California y para el Sistema Interconectado Baja California Sur, correspondientes a los años </w:t>
      </w:r>
      <w:r w:rsidR="00C85FBE" w:rsidRPr="0065554C">
        <w:t>2015</w:t>
      </w:r>
      <w:r w:rsidRPr="0065554C">
        <w:t xml:space="preserve">, </w:t>
      </w:r>
      <w:r w:rsidR="00C85FBE" w:rsidRPr="0065554C">
        <w:t>2016</w:t>
      </w:r>
      <w:r w:rsidRPr="0065554C">
        <w:t>, así como las horas críticas que resultaron del Mercado para el Balance de Potencia para el año 201</w:t>
      </w:r>
      <w:r w:rsidR="00D32062" w:rsidRPr="0065554C">
        <w:t>7</w:t>
      </w:r>
      <w:r w:rsidRPr="0065554C">
        <w:t xml:space="preserve">, las cuales se encuentran disponibles para su consulta en el siguiente vínculo electrónico: </w:t>
      </w:r>
      <w:hyperlink r:id="rId16" w:history="1">
        <w:r w:rsidRPr="0065554C">
          <w:rPr>
            <w:rStyle w:val="Hipervnculo"/>
            <w:color w:val="auto"/>
          </w:rPr>
          <w:t>http://www.cenace.gob.mx/Paginas/Publicas/MercadoOperacion/SubastasLP.aspx</w:t>
        </w:r>
      </w:hyperlink>
    </w:p>
    <w:p w14:paraId="645A7B61" w14:textId="77777777" w:rsidR="00160338" w:rsidRPr="0065554C" w:rsidRDefault="00160338" w:rsidP="00361661">
      <w:pPr>
        <w:pStyle w:val="Captulo"/>
      </w:pPr>
      <w:bookmarkStart w:id="79" w:name="_Toc436433752"/>
      <w:r w:rsidRPr="0065554C">
        <w:lastRenderedPageBreak/>
        <w:br/>
      </w:r>
      <w:bookmarkStart w:id="80" w:name="_Toc436487848"/>
      <w:bookmarkStart w:id="81" w:name="_Toc450052166"/>
      <w:bookmarkStart w:id="82" w:name="_Toc312964136"/>
      <w:bookmarkStart w:id="83" w:name="_Toc450201408"/>
      <w:bookmarkStart w:id="84" w:name="_Toc450638571"/>
      <w:bookmarkStart w:id="85" w:name="_Toc479255710"/>
      <w:bookmarkStart w:id="86" w:name="_Toc454100229"/>
      <w:bookmarkStart w:id="87" w:name="_Toc479763752"/>
      <w:bookmarkStart w:id="88" w:name="_Toc509412998"/>
      <w:r w:rsidRPr="0065554C">
        <w:t>Procedimiento y reglas de la Subasta</w:t>
      </w:r>
      <w:bookmarkEnd w:id="79"/>
      <w:bookmarkEnd w:id="80"/>
      <w:bookmarkEnd w:id="81"/>
      <w:bookmarkEnd w:id="82"/>
      <w:bookmarkEnd w:id="83"/>
      <w:bookmarkEnd w:id="84"/>
      <w:bookmarkEnd w:id="85"/>
      <w:bookmarkEnd w:id="86"/>
      <w:bookmarkEnd w:id="87"/>
      <w:bookmarkEnd w:id="88"/>
    </w:p>
    <w:p w14:paraId="7E3C2B66" w14:textId="77777777" w:rsidR="00160338" w:rsidRPr="0065554C" w:rsidRDefault="00160338" w:rsidP="00D42E95">
      <w:pPr>
        <w:pStyle w:val="Seccin"/>
        <w:numPr>
          <w:ilvl w:val="1"/>
          <w:numId w:val="9"/>
        </w:numPr>
      </w:pPr>
      <w:bookmarkStart w:id="89" w:name="_Toc436487849"/>
      <w:bookmarkStart w:id="90" w:name="_Toc436433753"/>
      <w:bookmarkStart w:id="91" w:name="_Toc450052167"/>
      <w:bookmarkStart w:id="92" w:name="_Toc312964137"/>
      <w:bookmarkStart w:id="93" w:name="_Toc450201409"/>
      <w:bookmarkStart w:id="94" w:name="_Toc450638572"/>
      <w:bookmarkStart w:id="95" w:name="_Toc479255711"/>
      <w:bookmarkStart w:id="96" w:name="_Toc454100230"/>
      <w:bookmarkStart w:id="97" w:name="_Toc479763753"/>
      <w:bookmarkStart w:id="98" w:name="_Toc509412999"/>
      <w:r w:rsidRPr="0065554C">
        <w:t>Calendario de actividades</w:t>
      </w:r>
      <w:bookmarkEnd w:id="89"/>
      <w:bookmarkEnd w:id="90"/>
      <w:bookmarkEnd w:id="91"/>
      <w:bookmarkEnd w:id="92"/>
      <w:bookmarkEnd w:id="93"/>
      <w:bookmarkEnd w:id="94"/>
      <w:bookmarkEnd w:id="95"/>
      <w:bookmarkEnd w:id="96"/>
      <w:bookmarkEnd w:id="97"/>
      <w:bookmarkEnd w:id="98"/>
      <w:r w:rsidRPr="0065554C">
        <w:t xml:space="preserve"> </w:t>
      </w:r>
    </w:p>
    <w:p w14:paraId="6559EF39" w14:textId="77777777" w:rsidR="00160338" w:rsidRPr="0065554C" w:rsidRDefault="00160338" w:rsidP="005E311D">
      <w:pPr>
        <w:pStyle w:val="Numeral"/>
      </w:pPr>
      <w:r w:rsidRPr="0065554C">
        <w:t xml:space="preserve">El Calendario de la Subasta </w:t>
      </w:r>
      <w:r w:rsidR="00E6750C" w:rsidRPr="0065554C">
        <w:t xml:space="preserve">es parte integral de las Bases de Licitación, el cual se encuentra incluido en el </w:t>
      </w:r>
      <w:r w:rsidRPr="0065554C">
        <w:t xml:space="preserve"> </w:t>
      </w:r>
      <w:r w:rsidRPr="0065554C">
        <w:rPr>
          <w:b/>
        </w:rPr>
        <w:t>Anexo I.1</w:t>
      </w:r>
      <w:r w:rsidRPr="0065554C">
        <w:t>.</w:t>
      </w:r>
    </w:p>
    <w:p w14:paraId="463B519F" w14:textId="77777777" w:rsidR="00160338" w:rsidRPr="0065554C" w:rsidRDefault="00160338" w:rsidP="005E311D">
      <w:pPr>
        <w:pStyle w:val="Numeral"/>
      </w:pPr>
      <w:r w:rsidRPr="0065554C">
        <w:t>El CENACE podrá modificar el Calendario de la Subasta</w:t>
      </w:r>
      <w:r w:rsidR="005956B2" w:rsidRPr="0065554C">
        <w:t xml:space="preserve"> hasta antes de la publicación de la versión final de las Bases de Licitación,</w:t>
      </w:r>
      <w:r w:rsidRPr="0065554C">
        <w:t xml:space="preserve"> mediante notificación a los Interesados, según corresponda.</w:t>
      </w:r>
    </w:p>
    <w:p w14:paraId="6CB71A86" w14:textId="77777777" w:rsidR="00160338" w:rsidRPr="0065554C" w:rsidRDefault="00160338" w:rsidP="00D42E95">
      <w:pPr>
        <w:pStyle w:val="Seccin"/>
        <w:numPr>
          <w:ilvl w:val="1"/>
          <w:numId w:val="9"/>
        </w:numPr>
      </w:pPr>
      <w:bookmarkStart w:id="99" w:name="_Toc436487850"/>
      <w:bookmarkStart w:id="100" w:name="_Toc436433754"/>
      <w:bookmarkStart w:id="101" w:name="_Toc450052168"/>
      <w:bookmarkStart w:id="102" w:name="_Toc312964138"/>
      <w:bookmarkStart w:id="103" w:name="_Toc450201410"/>
      <w:bookmarkStart w:id="104" w:name="_Toc450638573"/>
      <w:bookmarkStart w:id="105" w:name="_Toc479255712"/>
      <w:bookmarkStart w:id="106" w:name="_Toc454100231"/>
      <w:bookmarkStart w:id="107" w:name="_Toc479763754"/>
      <w:bookmarkStart w:id="108" w:name="_Toc509413000"/>
      <w:r w:rsidRPr="0065554C">
        <w:t>Aspectos Generales</w:t>
      </w:r>
      <w:bookmarkEnd w:id="99"/>
      <w:bookmarkEnd w:id="100"/>
      <w:bookmarkEnd w:id="101"/>
      <w:bookmarkEnd w:id="102"/>
      <w:bookmarkEnd w:id="103"/>
      <w:bookmarkEnd w:id="104"/>
      <w:bookmarkEnd w:id="105"/>
      <w:bookmarkEnd w:id="106"/>
      <w:bookmarkEnd w:id="107"/>
      <w:bookmarkEnd w:id="108"/>
    </w:p>
    <w:p w14:paraId="478177BF" w14:textId="77777777" w:rsidR="00160338" w:rsidRPr="0065554C" w:rsidRDefault="00160338" w:rsidP="005E311D">
      <w:pPr>
        <w:pStyle w:val="Numeral"/>
      </w:pPr>
      <w:r w:rsidRPr="0065554C">
        <w:t>La Subasta se llevará a cabo en forma electrónica a través del Sitio y se desarrollará en los términos establecidos en las Bases de Licitación.</w:t>
      </w:r>
    </w:p>
    <w:p w14:paraId="4CDBB7F9" w14:textId="77777777" w:rsidR="00160338" w:rsidRPr="0065554C" w:rsidRDefault="00160338" w:rsidP="005E311D">
      <w:pPr>
        <w:pStyle w:val="Numeral"/>
      </w:pPr>
      <w:r w:rsidRPr="0065554C">
        <w:t>La Subasta se identificará con la clave “SLP-1/201</w:t>
      </w:r>
      <w:r w:rsidR="00C85FBE" w:rsidRPr="0065554C">
        <w:t>8</w:t>
      </w:r>
      <w:r w:rsidRPr="0065554C">
        <w:t>”, para indicar que se trata de la Primera Subasta de Largo Plazo convocada por el CENACE en 201</w:t>
      </w:r>
      <w:r w:rsidR="00C85FBE" w:rsidRPr="0065554C">
        <w:t>8</w:t>
      </w:r>
      <w:r w:rsidRPr="0065554C">
        <w:t>.</w:t>
      </w:r>
    </w:p>
    <w:p w14:paraId="242DA047" w14:textId="77777777" w:rsidR="00160338" w:rsidRPr="0065554C" w:rsidRDefault="00160338" w:rsidP="005E311D">
      <w:pPr>
        <w:pStyle w:val="Numeral"/>
      </w:pPr>
      <w:r w:rsidRPr="0065554C">
        <w:t>Las Bases de Licitación son públicas y pueden ser consultadas sin que para ello sea necesario cubrir su costo de adquisición. Sin embargo, quien desee participar en la Subasta como Comprador Potencial o como Licitante deberá necesariamente cubrir el costo de adquisición de las Bases de Licitación para recibir información adicional y poder participar en el proceso de la Subasta.</w:t>
      </w:r>
    </w:p>
    <w:p w14:paraId="056A8EF3" w14:textId="77777777" w:rsidR="00FB2BC6" w:rsidRPr="0065554C" w:rsidRDefault="00160338" w:rsidP="005E311D">
      <w:pPr>
        <w:pStyle w:val="Numeral"/>
      </w:pPr>
      <w:r w:rsidRPr="0065554C">
        <w:t xml:space="preserve">El CENACE </w:t>
      </w:r>
      <w:r w:rsidR="00D32062" w:rsidRPr="0065554C">
        <w:t xml:space="preserve">impartirá </w:t>
      </w:r>
      <w:r w:rsidR="00FB2BC6" w:rsidRPr="0065554C">
        <w:t xml:space="preserve">cuatro </w:t>
      </w:r>
      <w:r w:rsidR="00D32062" w:rsidRPr="0065554C">
        <w:t>sesiones</w:t>
      </w:r>
      <w:r w:rsidRPr="0065554C">
        <w:t xml:space="preserve"> de capacitación</w:t>
      </w:r>
      <w:r w:rsidR="00FB2BC6" w:rsidRPr="0065554C">
        <w:t>, las cuales</w:t>
      </w:r>
      <w:r w:rsidRPr="0065554C">
        <w:t xml:space="preserve"> será</w:t>
      </w:r>
      <w:r w:rsidR="00666DC3" w:rsidRPr="0065554C">
        <w:t>n</w:t>
      </w:r>
      <w:r w:rsidRPr="0065554C">
        <w:t xml:space="preserve"> sobre el </w:t>
      </w:r>
      <w:r w:rsidR="00FB2BC6" w:rsidRPr="0065554C">
        <w:rPr>
          <w:b/>
        </w:rPr>
        <w:t xml:space="preserve">i) </w:t>
      </w:r>
      <w:r w:rsidRPr="0065554C">
        <w:t xml:space="preserve">uso del Sitio en relación con registro de los </w:t>
      </w:r>
      <w:r w:rsidR="00DE002C" w:rsidRPr="0065554C">
        <w:t xml:space="preserve">Interesados; </w:t>
      </w:r>
      <w:r w:rsidR="00FB2BC6" w:rsidRPr="0065554C">
        <w:rPr>
          <w:b/>
        </w:rPr>
        <w:t xml:space="preserve">ii) </w:t>
      </w:r>
      <w:r w:rsidR="00DE002C" w:rsidRPr="0065554C">
        <w:t>la</w:t>
      </w:r>
      <w:r w:rsidRPr="0065554C">
        <w:t xml:space="preserve"> </w:t>
      </w:r>
      <w:r w:rsidR="00122F0D" w:rsidRPr="0065554C">
        <w:t xml:space="preserve">Junta de </w:t>
      </w:r>
      <w:r w:rsidR="00FE6DEB" w:rsidRPr="0065554C">
        <w:t>Aclaraciones; solicitudes</w:t>
      </w:r>
      <w:r w:rsidRPr="0065554C">
        <w:t xml:space="preserve"> de registro de Compradores Potenciales y las Ofertas de Compra; </w:t>
      </w:r>
      <w:r w:rsidR="00FB2BC6" w:rsidRPr="0065554C">
        <w:rPr>
          <w:b/>
        </w:rPr>
        <w:t xml:space="preserve">iii) </w:t>
      </w:r>
      <w:r w:rsidRPr="0065554C">
        <w:t xml:space="preserve">la forma de cargar en el Sitio las ofertas técnicas de las Ofertas de Venta de los </w:t>
      </w:r>
      <w:r w:rsidR="00FE6DEB" w:rsidRPr="0065554C">
        <w:t xml:space="preserve">Licitantes; </w:t>
      </w:r>
      <w:r w:rsidR="00FB2BC6" w:rsidRPr="0065554C">
        <w:t xml:space="preserve">y </w:t>
      </w:r>
      <w:r w:rsidR="00FB2BC6" w:rsidRPr="0065554C">
        <w:rPr>
          <w:b/>
        </w:rPr>
        <w:t>iv)</w:t>
      </w:r>
      <w:r w:rsidR="00FB2BC6" w:rsidRPr="0065554C">
        <w:t xml:space="preserve"> </w:t>
      </w:r>
      <w:r w:rsidR="00FE6DEB" w:rsidRPr="0065554C">
        <w:t>la</w:t>
      </w:r>
      <w:r w:rsidRPr="0065554C">
        <w:t xml:space="preserve"> forma de cargar en el Sitio las ofertas económicas de las Ofertas de Venta y sobre el proceso iterativo, que </w:t>
      </w:r>
      <w:r w:rsidR="00F57DC1" w:rsidRPr="0065554C">
        <w:t>de ser necesario</w:t>
      </w:r>
      <w:r w:rsidRPr="0065554C">
        <w:t xml:space="preserve">, se </w:t>
      </w:r>
      <w:r w:rsidR="00F57DC1" w:rsidRPr="0065554C">
        <w:t>podrá llevar</w:t>
      </w:r>
      <w:r w:rsidRPr="0065554C">
        <w:t xml:space="preserve"> a cabo. </w:t>
      </w:r>
    </w:p>
    <w:p w14:paraId="63FABADF" w14:textId="77777777" w:rsidR="00E65DA8" w:rsidRPr="0065554C" w:rsidRDefault="00160338" w:rsidP="00852D72">
      <w:pPr>
        <w:pStyle w:val="Numeral"/>
        <w:numPr>
          <w:ilvl w:val="0"/>
          <w:numId w:val="0"/>
        </w:numPr>
        <w:ind w:left="1844"/>
      </w:pPr>
      <w:r w:rsidRPr="0065554C">
        <w:t xml:space="preserve">La fecha de cada sesión se </w:t>
      </w:r>
      <w:r w:rsidR="00F57DC1" w:rsidRPr="0065554C">
        <w:t>especifica</w:t>
      </w:r>
      <w:r w:rsidRPr="0065554C">
        <w:t xml:space="preserve"> en el Calendario de la Subasta</w:t>
      </w:r>
      <w:r w:rsidR="00A20D4B" w:rsidRPr="0065554C">
        <w:t>.</w:t>
      </w:r>
      <w:r w:rsidR="00FB2BC6" w:rsidRPr="0065554C">
        <w:t xml:space="preserve"> L</w:t>
      </w:r>
      <w:r w:rsidR="00C85FBE" w:rsidRPr="0065554C">
        <w:t xml:space="preserve">as capacitaciones podrán ser de manera presencial, por videoconferencia, conferencia </w:t>
      </w:r>
      <w:r w:rsidR="00B41B02" w:rsidRPr="0065554C">
        <w:t>vía</w:t>
      </w:r>
      <w:r w:rsidR="00236381" w:rsidRPr="0065554C">
        <w:t xml:space="preserve"> internet, </w:t>
      </w:r>
      <w:r w:rsidR="00B41B02" w:rsidRPr="0065554C">
        <w:t xml:space="preserve">o por cualquier otro medio que determine el CENACE, </w:t>
      </w:r>
      <w:r w:rsidR="00236381" w:rsidRPr="0065554C">
        <w:t xml:space="preserve">por lo que las ligas de videoconferencia o conferencia vía internet </w:t>
      </w:r>
      <w:r w:rsidR="00E65DA8" w:rsidRPr="0065554C">
        <w:t>o el</w:t>
      </w:r>
      <w:r w:rsidRPr="0065554C">
        <w:t xml:space="preserve"> lugar físico y el horario en que se llevarán a cabo se notificarán a través del Sitio</w:t>
      </w:r>
      <w:r w:rsidR="00A9561B" w:rsidRPr="0065554C">
        <w:t xml:space="preserve"> y/o</w:t>
      </w:r>
      <w:r w:rsidR="00636059" w:rsidRPr="0065554C">
        <w:t xml:space="preserve"> el portal electrónico</w:t>
      </w:r>
      <w:r w:rsidR="00596D75" w:rsidRPr="0065554C">
        <w:t xml:space="preserve"> </w:t>
      </w:r>
      <w:r w:rsidR="00A9561B" w:rsidRPr="0065554C">
        <w:t>del CENACE</w:t>
      </w:r>
      <w:r w:rsidRPr="0065554C">
        <w:t>, al menos cinco días hábiles antes de la fecha en que se realizará la sesión</w:t>
      </w:r>
      <w:r w:rsidR="008F386D" w:rsidRPr="0065554C">
        <w:t>,</w:t>
      </w:r>
      <w:r w:rsidR="00236381" w:rsidRPr="0065554C">
        <w:t xml:space="preserve"> teniendo este lapso para realizar el registro a las capacitaciones cumpliendo con los requisitos establecidos para poder participar en cada una de ellas.</w:t>
      </w:r>
    </w:p>
    <w:p w14:paraId="24DFD880" w14:textId="77777777" w:rsidR="00666DC3" w:rsidRPr="0065554C" w:rsidRDefault="00666DC3" w:rsidP="00D42E95">
      <w:pPr>
        <w:pStyle w:val="Numeral"/>
        <w:numPr>
          <w:ilvl w:val="0"/>
          <w:numId w:val="28"/>
        </w:numPr>
      </w:pPr>
      <w:r w:rsidRPr="0065554C">
        <w:lastRenderedPageBreak/>
        <w:t xml:space="preserve">La sesión o sesiones de capacitación que se realicen para Uso del Sitio en relación al registro de los </w:t>
      </w:r>
      <w:r w:rsidR="009F0F79" w:rsidRPr="0065554C">
        <w:t>I</w:t>
      </w:r>
      <w:r w:rsidRPr="0065554C">
        <w:t xml:space="preserve">nteresados y la Junta de aclaraciones será a todos los </w:t>
      </w:r>
      <w:r w:rsidR="009F0F79" w:rsidRPr="0065554C">
        <w:t>I</w:t>
      </w:r>
      <w:r w:rsidRPr="0065554C">
        <w:t>nteresados</w:t>
      </w:r>
      <w:r w:rsidR="008F386D" w:rsidRPr="0065554C">
        <w:t>.</w:t>
      </w:r>
    </w:p>
    <w:p w14:paraId="3A817806" w14:textId="77777777" w:rsidR="00666DC3" w:rsidRPr="0065554C" w:rsidRDefault="00666DC3" w:rsidP="00D42E95">
      <w:pPr>
        <w:pStyle w:val="Numeral"/>
        <w:numPr>
          <w:ilvl w:val="0"/>
          <w:numId w:val="28"/>
        </w:numPr>
      </w:pPr>
      <w:r w:rsidRPr="0065554C">
        <w:t xml:space="preserve">La sesión o sesiones de capacitación referentes a las solicitudes de registro de Compradores Potenciales y las Ofertas de Compra estarán dirigidas a los </w:t>
      </w:r>
      <w:r w:rsidR="008F386D" w:rsidRPr="0065554C">
        <w:t>I</w:t>
      </w:r>
      <w:r w:rsidRPr="0065554C">
        <w:t>nteresados en participar como Comprador Potencial y deberán acreditar los pagos de Bases de Licitación y Registro como Comprador Potencial.</w:t>
      </w:r>
    </w:p>
    <w:p w14:paraId="13E649A3" w14:textId="77777777" w:rsidR="00666DC3" w:rsidRPr="0065554C" w:rsidRDefault="00666DC3" w:rsidP="00D42E95">
      <w:pPr>
        <w:pStyle w:val="Numeral"/>
        <w:numPr>
          <w:ilvl w:val="0"/>
          <w:numId w:val="28"/>
        </w:numPr>
      </w:pPr>
      <w:r w:rsidRPr="0065554C">
        <w:t xml:space="preserve">La sesión o sesiones de capacitación referentes a la forma de cargar en el Sitio las ofertas Técnicas de las Ofertas de Venta de los Licitantes estará dirigida a los </w:t>
      </w:r>
      <w:r w:rsidR="00CD6DD1" w:rsidRPr="0065554C">
        <w:t>I</w:t>
      </w:r>
      <w:r w:rsidRPr="0065554C">
        <w:t>nteresados en participar como Licitantes y deberán acreditar los pagos de Bases de Licitación, Solicitud de precalificación y al menos una Oferta de Venta.</w:t>
      </w:r>
    </w:p>
    <w:p w14:paraId="04A3A253" w14:textId="77777777" w:rsidR="00666DC3" w:rsidRPr="0065554C" w:rsidRDefault="00666DC3" w:rsidP="00D42E95">
      <w:pPr>
        <w:pStyle w:val="Numeral"/>
        <w:numPr>
          <w:ilvl w:val="0"/>
          <w:numId w:val="28"/>
        </w:numPr>
      </w:pPr>
      <w:r w:rsidRPr="0065554C">
        <w:t>La sesión o sesiones de capacitación referentes a la forma de cargar en el Sitio las ofertas económicas de las Ofertas de Venta y sobre el proceso iterativo se impartirá a los Licitantes que hayan obtenido al menos una Oferta de Venta con Constancia de Precalificación.</w:t>
      </w:r>
    </w:p>
    <w:p w14:paraId="1496EECC" w14:textId="77777777" w:rsidR="00160338" w:rsidRPr="0065554C" w:rsidRDefault="00160338" w:rsidP="005E311D">
      <w:pPr>
        <w:pStyle w:val="Numeral"/>
      </w:pPr>
      <w:r w:rsidRPr="0065554C">
        <w:t xml:space="preserve">Para el correcto uso del Sitio, el CENACE pondrá a disposición de los Interesados un Instructivo que se publicará en el Sitio en la fecha señalada en el Calendario de la Subasta, y cuyas actualizaciones se publicarán por el mismo medio conforme sea necesario. </w:t>
      </w:r>
    </w:p>
    <w:p w14:paraId="7D53B4C3" w14:textId="77777777" w:rsidR="00160338" w:rsidRPr="0065554C" w:rsidRDefault="00160338" w:rsidP="005E311D">
      <w:pPr>
        <w:pStyle w:val="Numeral"/>
      </w:pPr>
      <w:r w:rsidRPr="0065554C">
        <w:t>El CENACE publicará en el Sitio cualquier asunto relacionado con el procedimiento de la Subasta. El Sitio será el medio de comunicación oficial entre el CENACE y los Interesados, Compradores Potenciales y Licitantes sobre cualquier asunto relacionado con el procedimiento de la Subasta, por lo que todas las comunicaciones que se hagan a través del mismo se considerarán realizadas, para todos los efectos legales a que haya lugar, en términos de lo dispuesto en los numerales 1.3.4 y 1.3.5.</w:t>
      </w:r>
      <w:r w:rsidR="00FB1622" w:rsidRPr="0065554C">
        <w:t xml:space="preserve"> Asimismo, el huso horario de la Subasta será aquél aplicable a la zona de la Ciudad de México en términos del Tiempo Universal Coordinado.</w:t>
      </w:r>
    </w:p>
    <w:p w14:paraId="0F4AA6F0" w14:textId="77777777" w:rsidR="00160338" w:rsidRPr="0065554C" w:rsidRDefault="00160338" w:rsidP="005E311D">
      <w:pPr>
        <w:pStyle w:val="Numeral"/>
      </w:pPr>
      <w:r w:rsidRPr="0065554C">
        <w:t xml:space="preserve">Todos los documentos que deban presentarse de manera electrónica en el Sitio deberán escanearse individualmente en archivos con formato PDF. Si los documentos contienen información en ambas caras, se </w:t>
      </w:r>
      <w:r w:rsidRPr="0065554C">
        <w:rPr>
          <w:rFonts w:eastAsia="Times New Roman"/>
        </w:rPr>
        <w:t>deberán escanear ambas caras</w:t>
      </w:r>
      <w:r w:rsidRPr="0065554C">
        <w:t xml:space="preserve">. Asimismo, y si la naturaleza de cada documento así lo permite, éstos deberán ir rubricados o firmados, según corresponda. </w:t>
      </w:r>
    </w:p>
    <w:p w14:paraId="3DF2EFAC" w14:textId="77777777" w:rsidR="00160338" w:rsidRPr="0065554C" w:rsidRDefault="00160338" w:rsidP="005E311D">
      <w:pPr>
        <w:pStyle w:val="Numeral"/>
      </w:pPr>
      <w:r w:rsidRPr="0065554C">
        <w:t xml:space="preserve">La Subasta se realizará en idioma español. Salvo disposición en contrario, las preguntas, información y documentación que los Interesados, los Compradores Potenciales y los Licitantes presenten al CENACE deberán estar en idioma español. </w:t>
      </w:r>
    </w:p>
    <w:p w14:paraId="2BE172F3" w14:textId="77777777" w:rsidR="00160338" w:rsidRPr="0065554C" w:rsidRDefault="00160338" w:rsidP="005E311D">
      <w:pPr>
        <w:pStyle w:val="Numeral"/>
      </w:pPr>
      <w:r w:rsidRPr="0065554C">
        <w:t xml:space="preserve">En caso de que el documento original se encuentre en idioma distinto al español, deberá acompañarse una traducción al español certificada por perito traductor autorizado por cualquiera de los poderes judiciales de los Estados Unidos Mexicanos o el Consejo de la Judicatura Federal. Los Interesados, Compradores Potenciales y Licitantes podrán </w:t>
      </w:r>
      <w:r w:rsidRPr="0065554C">
        <w:lastRenderedPageBreak/>
        <w:t>presentar, a su juicio, únicamente la traducción de las partes relevantes del documento, esto es, la información necesaria y suficiente que se relacione con el aspecto que el</w:t>
      </w:r>
      <w:r w:rsidR="00D221DD" w:rsidRPr="0065554C">
        <w:t xml:space="preserve"> Interesado,</w:t>
      </w:r>
      <w:r w:rsidRPr="0065554C">
        <w:t xml:space="preserve"> Comprador Potencial o Licitante pretenda acreditar. Si el CENACE considera que es necesario traducir otras partes de tales documentos, lo requerirá como información complementaria, de conformidad con lo previsto en el numeral 5.4.4.</w:t>
      </w:r>
    </w:p>
    <w:p w14:paraId="0303A97A" w14:textId="77777777" w:rsidR="00160338" w:rsidRPr="0065554C" w:rsidRDefault="00160338" w:rsidP="005E311D">
      <w:pPr>
        <w:pStyle w:val="Numeral"/>
      </w:pPr>
      <w:r w:rsidRPr="0065554C">
        <w:t>Cuando en las Bases de Licitación esté previsto un formato para la presentación de información, los Interesados, Compradores Potenciales y Licitantes, según corresponda, deberán utilizar ese formato para presentarla, sin modificar la información contenida en el mismo.</w:t>
      </w:r>
    </w:p>
    <w:p w14:paraId="3E894E97" w14:textId="77777777" w:rsidR="00160338" w:rsidRPr="0065554C" w:rsidRDefault="00160338" w:rsidP="005E311D">
      <w:pPr>
        <w:pStyle w:val="Numeral"/>
      </w:pPr>
      <w:r w:rsidRPr="0065554C">
        <w:t xml:space="preserve">Los formatos de los </w:t>
      </w:r>
      <w:r w:rsidR="007970C4" w:rsidRPr="0065554C">
        <w:t>a</w:t>
      </w:r>
      <w:r w:rsidRPr="0065554C">
        <w:t xml:space="preserve">nexos de las Bases de Licitación deberán llenarse electrónicamente, </w:t>
      </w:r>
      <w:r w:rsidR="0090017F" w:rsidRPr="0065554C">
        <w:t>y deberán ser firmados</w:t>
      </w:r>
      <w:r w:rsidRPr="0065554C">
        <w:t xml:space="preserve"> utilizando preferentemente tinta de color azul. El Sitio emitirá acuses de recibo de todos los documentos que los Interesados, Comprador</w:t>
      </w:r>
      <w:r w:rsidR="00670AF4" w:rsidRPr="0065554C">
        <w:t>es</w:t>
      </w:r>
      <w:r w:rsidRPr="0065554C">
        <w:t xml:space="preserve"> Potenciales</w:t>
      </w:r>
      <w:r w:rsidR="00670AF4" w:rsidRPr="0065554C">
        <w:t xml:space="preserve"> </w:t>
      </w:r>
      <w:r w:rsidR="009806D3" w:rsidRPr="0065554C">
        <w:t xml:space="preserve">y </w:t>
      </w:r>
      <w:r w:rsidRPr="0065554C">
        <w:t>Licitantes carguen electrónicamente en el Sitio.</w:t>
      </w:r>
    </w:p>
    <w:p w14:paraId="3498C336" w14:textId="77777777" w:rsidR="00160338" w:rsidRPr="0065554C" w:rsidRDefault="00160338" w:rsidP="005E311D">
      <w:pPr>
        <w:pStyle w:val="Numeral"/>
      </w:pPr>
      <w:r w:rsidRPr="0065554C">
        <w:t>Si una vez cargado el archivo, el CENACE no puede abrirlo por cualquier causa ajena al CENACE (por ejemplo, que el archivo esté dañado, tenga algún virus informático, contenga una contraseña, esté encriptado, haya ocurrido un error que el Comprador Potencial o el Licitante no identificó a la hora de generarlo, o sea ilegible), el CENACE requerirá la presentación de dicho archivo como información complementaria de conformidad con lo previsto en el numeral 5.4.4. Si una vez presentada la información complementaria aún no es posible abrir el archivo, ésta se tendrá por no presentada y, por lo tanto, podrá motivar la emisión de un Dictamen No Favorable.</w:t>
      </w:r>
    </w:p>
    <w:p w14:paraId="6385BC9E" w14:textId="77777777" w:rsidR="00160338" w:rsidRPr="0065554C" w:rsidRDefault="00160338" w:rsidP="005E311D">
      <w:pPr>
        <w:pStyle w:val="Numeral"/>
      </w:pPr>
      <w:r w:rsidRPr="0065554C">
        <w:t>El CENACE no revelará las identidades de los Compradores Potenciales y Licitantes ni las ubicaciones de las Centrales Eléctricas de estos últimos durante el proceso de la Subasta hasta que se emita el Fallo correspondiente, salvo por lo establecido en el numeral 5.6.3.</w:t>
      </w:r>
    </w:p>
    <w:p w14:paraId="1CA1D69D" w14:textId="77777777" w:rsidR="00160338" w:rsidRPr="0065554C" w:rsidRDefault="00160338" w:rsidP="005E311D">
      <w:pPr>
        <w:pStyle w:val="Numeral"/>
      </w:pPr>
      <w:bookmarkStart w:id="109" w:name="_Toc436487851"/>
      <w:bookmarkStart w:id="110" w:name="_Toc436433755"/>
      <w:bookmarkStart w:id="111" w:name="_Toc450052169"/>
      <w:bookmarkStart w:id="112" w:name="_Toc312964139"/>
      <w:bookmarkStart w:id="113" w:name="_Toc450201411"/>
      <w:bookmarkStart w:id="114" w:name="_Toc450638574"/>
      <w:bookmarkStart w:id="115" w:name="_Toc478737852"/>
      <w:r w:rsidRPr="0065554C">
        <w:t xml:space="preserve">El Sitio será el medio de comunicación oficial entre el CENACE y los Interesados, Compradores Potenciales y Licitantes sobre cualquier asunto relacionado con el procedimiento de la Subasta. Sin embargo, también serán aceptables los siguientes medios: </w:t>
      </w:r>
    </w:p>
    <w:p w14:paraId="07B2F704" w14:textId="77777777" w:rsidR="00160338" w:rsidRPr="0065554C" w:rsidRDefault="00160338" w:rsidP="005E311D">
      <w:pPr>
        <w:pStyle w:val="Inciso"/>
      </w:pPr>
      <w:r w:rsidRPr="0065554C">
        <w:t>Correo electrónico cuando el Interesado, Comprador Potencial o Licitante, según corresponda, lo haya proporcionado para efectos de recibir información o documentación del CENACE, y cuando el CENACE o las Bases de Licitación establezca que la información o documentación puede ser enviada al CENACE a través de ese medio; y,</w:t>
      </w:r>
    </w:p>
    <w:p w14:paraId="77BB0DD8" w14:textId="77777777" w:rsidR="00160338" w:rsidRPr="0065554C" w:rsidRDefault="00160338" w:rsidP="005E311D">
      <w:pPr>
        <w:pStyle w:val="Inciso"/>
      </w:pPr>
      <w:r w:rsidRPr="0065554C">
        <w:t xml:space="preserve">Cualquier otro medio que </w:t>
      </w:r>
      <w:r w:rsidR="00FB1622" w:rsidRPr="0065554C">
        <w:t>el CENACE dará a conocer con anticipación vía su portal electrónic</w:t>
      </w:r>
      <w:r w:rsidR="00614584" w:rsidRPr="0065554C">
        <w:t>o</w:t>
      </w:r>
      <w:r w:rsidR="00FB1622" w:rsidRPr="0065554C">
        <w:t>, que permita al</w:t>
      </w:r>
      <w:r w:rsidRPr="0065554C">
        <w:t xml:space="preserve"> CENACE</w:t>
      </w:r>
      <w:r w:rsidR="00614584" w:rsidRPr="0065554C">
        <w:t>,</w:t>
      </w:r>
      <w:r w:rsidRPr="0065554C">
        <w:t xml:space="preserve"> a los Interesados,</w:t>
      </w:r>
      <w:r w:rsidR="00614584" w:rsidRPr="0065554C">
        <w:t xml:space="preserve"> </w:t>
      </w:r>
      <w:r w:rsidR="00FB1622" w:rsidRPr="0065554C">
        <w:t>Compradores</w:t>
      </w:r>
      <w:r w:rsidRPr="0065554C">
        <w:t xml:space="preserve"> Potenciales y</w:t>
      </w:r>
      <w:r w:rsidR="00614584" w:rsidRPr="0065554C">
        <w:t xml:space="preserve"> </w:t>
      </w:r>
      <w:r w:rsidRPr="0065554C">
        <w:t>Licitantes enviar y recibir información o documentación en los casos en que no sea posible hacerlo a través del Sitio o de correo electrónico.</w:t>
      </w:r>
    </w:p>
    <w:p w14:paraId="5E0F1CEA" w14:textId="77777777" w:rsidR="00257C4A" w:rsidRPr="0065554C" w:rsidRDefault="00257C4A" w:rsidP="00FE6DEB">
      <w:pPr>
        <w:pStyle w:val="Numeral"/>
      </w:pPr>
      <w:r w:rsidRPr="0065554C">
        <w:t>CENACE enviará a la dirección de correo electrónico de</w:t>
      </w:r>
      <w:r w:rsidR="0032207F" w:rsidRPr="0065554C">
        <w:t xml:space="preserve"> </w:t>
      </w:r>
      <w:r w:rsidR="00E403F1" w:rsidRPr="0065554C">
        <w:t>los Interesados, Compradores Potenciales o Licitantes, según corresponda</w:t>
      </w:r>
      <w:r w:rsidRPr="0065554C">
        <w:t>, un aviso informándole que tiene comunicación o actuación referente a su número de folio como participante de la Subasta, la cual está disponible en el Sitio</w:t>
      </w:r>
      <w:r w:rsidR="00871226" w:rsidRPr="0065554C">
        <w:t>.</w:t>
      </w:r>
    </w:p>
    <w:p w14:paraId="04D52A2F" w14:textId="77777777" w:rsidR="00257C4A" w:rsidRPr="0065554C" w:rsidRDefault="00257C4A" w:rsidP="00E403F1">
      <w:pPr>
        <w:pStyle w:val="Numeral"/>
        <w:numPr>
          <w:ilvl w:val="0"/>
          <w:numId w:val="0"/>
        </w:numPr>
        <w:ind w:left="1416"/>
      </w:pPr>
      <w:r w:rsidRPr="0065554C">
        <w:lastRenderedPageBreak/>
        <w:t>El Sitio registrará la fecha y hora en que se efectúe el envío señalado en el párrafo anterior</w:t>
      </w:r>
      <w:r w:rsidR="00871226" w:rsidRPr="0065554C">
        <w:t>,</w:t>
      </w:r>
      <w:r w:rsidRPr="0065554C">
        <w:t xml:space="preserve"> y se tendrá como legalmente practicada la notificación, conforme a lo señalado en las fracciones anteriores, cuando el Sitio genere el acuse de recibo electrónico donde conste la fecha y hora en que</w:t>
      </w:r>
      <w:r w:rsidR="00E403F1" w:rsidRPr="0065554C">
        <w:t xml:space="preserve"> notifica a los Interesados, Compradores Potenciales o Licitantes, según corresponda, </w:t>
      </w:r>
      <w:r w:rsidRPr="0065554C">
        <w:t>con su usuarios y contraseña al folio como participante de la Subasta.</w:t>
      </w:r>
    </w:p>
    <w:p w14:paraId="00BFF324" w14:textId="77777777" w:rsidR="00257C4A" w:rsidRPr="0065554C" w:rsidRDefault="00257C4A" w:rsidP="00FE6DEB">
      <w:pPr>
        <w:pStyle w:val="Numeral"/>
        <w:numPr>
          <w:ilvl w:val="0"/>
          <w:numId w:val="0"/>
        </w:numPr>
        <w:ind w:left="1419"/>
      </w:pPr>
      <w:r w:rsidRPr="0065554C">
        <w:t xml:space="preserve">En caso de que en el plazo señalado en la fracción anterior, el Sitio no genere el acuse de recibo donde conste que la notificación fue realizada, la misma se efectuará mediante lista en el Sitio al día hábil siguiente contado a partir de la fecha de envío del correo electrónico, fecha en que se tendrá por legalmente notificado. </w:t>
      </w:r>
    </w:p>
    <w:p w14:paraId="5EDF6A0B" w14:textId="77777777" w:rsidR="00160338" w:rsidRPr="0065554C" w:rsidRDefault="00160338" w:rsidP="00160338">
      <w:pPr>
        <w:pStyle w:val="Seccin"/>
      </w:pPr>
      <w:bookmarkStart w:id="116" w:name="_Toc479255713"/>
      <w:bookmarkStart w:id="117" w:name="_Toc454100232"/>
      <w:bookmarkStart w:id="118" w:name="_Toc479763755"/>
      <w:bookmarkStart w:id="119" w:name="_Toc509413001"/>
      <w:r w:rsidRPr="0065554C">
        <w:t>Personas que podrán participar en la Subasta</w:t>
      </w:r>
      <w:bookmarkEnd w:id="109"/>
      <w:bookmarkEnd w:id="110"/>
      <w:bookmarkEnd w:id="111"/>
      <w:bookmarkEnd w:id="112"/>
      <w:bookmarkEnd w:id="113"/>
      <w:bookmarkEnd w:id="114"/>
      <w:bookmarkEnd w:id="115"/>
      <w:bookmarkEnd w:id="116"/>
      <w:bookmarkEnd w:id="117"/>
      <w:bookmarkEnd w:id="118"/>
      <w:bookmarkEnd w:id="119"/>
    </w:p>
    <w:p w14:paraId="3BF40A27" w14:textId="77777777" w:rsidR="00160338" w:rsidRPr="0065554C" w:rsidRDefault="00160338" w:rsidP="005E311D">
      <w:pPr>
        <w:pStyle w:val="Numeral"/>
      </w:pPr>
      <w:r w:rsidRPr="0065554C">
        <w:t>Cualquier persona podrá participar en la Subasta siempre y cuando cumpla con los requisitos establecidos en</w:t>
      </w:r>
      <w:r w:rsidR="007E0F8D" w:rsidRPr="0065554C">
        <w:t xml:space="preserve"> las Bases del Mercado Eléctrico,</w:t>
      </w:r>
      <w:r w:rsidRPr="0065554C">
        <w:t xml:space="preserve"> el Manual de Subastas de Largo Plazo, en las Bases de Licitación, en la Guía Operativa de la Cámara de Compensación y no se encuentre impedida en los términos de la legislación aplicable.</w:t>
      </w:r>
    </w:p>
    <w:p w14:paraId="1C365D87" w14:textId="77777777" w:rsidR="00160338" w:rsidRPr="0065554C" w:rsidRDefault="000D58DE" w:rsidP="000D58DE">
      <w:pPr>
        <w:pStyle w:val="Numeral"/>
        <w:rPr>
          <w:b/>
        </w:rPr>
      </w:pPr>
      <w:r w:rsidRPr="0065554C">
        <w:t>Las siguientes Entidades Responsables de Carga podrán participar en las Subastas como Compradores Potenciales siempre y cuando cumplan con los requisitos y condiciones que para ello se establecen en las Bases del Mercado Eléctrico y e</w:t>
      </w:r>
      <w:r w:rsidR="00A001A0" w:rsidRPr="0065554C">
        <w:t>l</w:t>
      </w:r>
      <w:r w:rsidRPr="0065554C">
        <w:t xml:space="preserve"> </w:t>
      </w:r>
      <w:r w:rsidR="007970C4" w:rsidRPr="0065554C">
        <w:t>Manual</w:t>
      </w:r>
      <w:r w:rsidR="00A001A0" w:rsidRPr="0065554C">
        <w:t xml:space="preserve"> de Subastas de Largo Plazo</w:t>
      </w:r>
      <w:r w:rsidR="007970C4" w:rsidRPr="0065554C">
        <w:t>:</w:t>
      </w:r>
    </w:p>
    <w:p w14:paraId="6CAEB1F9" w14:textId="77777777" w:rsidR="00160338" w:rsidRPr="0065554C" w:rsidRDefault="00160338" w:rsidP="005E311D">
      <w:pPr>
        <w:pStyle w:val="Inciso"/>
      </w:pPr>
      <w:r w:rsidRPr="0065554C">
        <w:t>El Suministrador de Servicios Básicos;</w:t>
      </w:r>
    </w:p>
    <w:p w14:paraId="04EE8490" w14:textId="77777777" w:rsidR="00160338" w:rsidRPr="0065554C" w:rsidRDefault="00160338" w:rsidP="005E311D">
      <w:pPr>
        <w:pStyle w:val="Inciso"/>
      </w:pPr>
      <w:r w:rsidRPr="0065554C">
        <w:t>Los Suministradores de Servicios Calificados;</w:t>
      </w:r>
    </w:p>
    <w:p w14:paraId="4D603964" w14:textId="77777777" w:rsidR="00160338" w:rsidRPr="0065554C" w:rsidRDefault="00160338" w:rsidP="005E311D">
      <w:pPr>
        <w:pStyle w:val="Inciso"/>
      </w:pPr>
      <w:r w:rsidRPr="0065554C">
        <w:t>Los Suministradores de Último Recurso; y,</w:t>
      </w:r>
    </w:p>
    <w:p w14:paraId="7F868A31" w14:textId="77777777" w:rsidR="00160338" w:rsidRPr="0065554C" w:rsidRDefault="00160338" w:rsidP="005E311D">
      <w:pPr>
        <w:pStyle w:val="Inciso"/>
      </w:pPr>
      <w:r w:rsidRPr="0065554C">
        <w:t>Los Usuarios Calificados Participantes del Mercado.</w:t>
      </w:r>
    </w:p>
    <w:p w14:paraId="677063F9" w14:textId="77777777" w:rsidR="00E403F1" w:rsidRPr="0065554C" w:rsidRDefault="00E403F1" w:rsidP="00E403F1">
      <w:pPr>
        <w:pStyle w:val="Numeral"/>
      </w:pPr>
      <w:r w:rsidRPr="0065554C">
        <w:t>Las Entidades Responsables de Carga distintas a los Suministradores de Servicios Básicos</w:t>
      </w:r>
      <w:r w:rsidR="00BC57FD" w:rsidRPr="0065554C">
        <w:t xml:space="preserve"> </w:t>
      </w:r>
    </w:p>
    <w:p w14:paraId="5DB83021" w14:textId="77777777" w:rsidR="00E403F1" w:rsidRPr="0065554C" w:rsidRDefault="00E403F1" w:rsidP="00BC57FD">
      <w:pPr>
        <w:pStyle w:val="Numeral"/>
        <w:numPr>
          <w:ilvl w:val="0"/>
          <w:numId w:val="0"/>
        </w:numPr>
        <w:ind w:left="1701"/>
      </w:pPr>
      <w:r w:rsidRPr="0065554C">
        <w:t>podrán participar en las Subastas como Compradores Potenciales siempre y cuando se cumplan las tres condiciones siguientes:</w:t>
      </w:r>
    </w:p>
    <w:p w14:paraId="7E1B58AC" w14:textId="77777777" w:rsidR="00E403F1" w:rsidRPr="0065554C" w:rsidRDefault="00E403F1" w:rsidP="00BC57FD">
      <w:pPr>
        <w:pStyle w:val="Numeral"/>
        <w:numPr>
          <w:ilvl w:val="0"/>
          <w:numId w:val="0"/>
        </w:numPr>
        <w:ind w:left="1844"/>
      </w:pPr>
      <w:r w:rsidRPr="0065554C">
        <w:t>(a) la Cámara de Compensación prevista en la sección 3.2</w:t>
      </w:r>
      <w:r w:rsidR="00B91A61" w:rsidRPr="0065554C">
        <w:t xml:space="preserve"> del Manual de Subastas de Largo Plazo</w:t>
      </w:r>
      <w:r w:rsidRPr="0065554C">
        <w:t xml:space="preserve"> haya quedado establecida y se encuentre en posibilidades de operar;</w:t>
      </w:r>
    </w:p>
    <w:p w14:paraId="7A25B3E5" w14:textId="77777777" w:rsidR="00E403F1" w:rsidRPr="0065554C" w:rsidRDefault="00E403F1" w:rsidP="00BC57FD">
      <w:pPr>
        <w:pStyle w:val="Numeral"/>
        <w:numPr>
          <w:ilvl w:val="0"/>
          <w:numId w:val="0"/>
        </w:numPr>
        <w:ind w:left="1844"/>
      </w:pPr>
      <w:r w:rsidRPr="0065554C">
        <w:t>(b) la Entidad Responsable de Carga de que se trate tenga conocimiento y esté de acuerdo en que la Oferta de Compra que presentará en la Subasta deberá ajustarse a lo previsto en la Base 14.3.9(d) de las Bases del Mercado Eléctrico; y,</w:t>
      </w:r>
    </w:p>
    <w:p w14:paraId="13734A4F" w14:textId="77777777" w:rsidR="00E403F1" w:rsidRPr="0065554C" w:rsidRDefault="00E403F1" w:rsidP="00BC57FD">
      <w:pPr>
        <w:pStyle w:val="Numeral"/>
        <w:numPr>
          <w:ilvl w:val="0"/>
          <w:numId w:val="0"/>
        </w:numPr>
        <w:ind w:left="1844"/>
      </w:pPr>
      <w:r w:rsidRPr="0065554C">
        <w:t>(c) la Entidad Responsable de Carga cumpla con los requisitos y obligaciones previstos en este Manual, en la Guía Operativa de la Cámara de Compensación y en las respectivas Bases de Licitación para ser registrado por el CENACE como Comprador Potencial en la Subasta</w:t>
      </w:r>
      <w:r w:rsidR="00BC57FD" w:rsidRPr="0065554C">
        <w:t xml:space="preserve"> de que se trate.</w:t>
      </w:r>
    </w:p>
    <w:p w14:paraId="48F684C0" w14:textId="77777777" w:rsidR="00160338" w:rsidRPr="0065554C" w:rsidRDefault="00160338" w:rsidP="005E311D">
      <w:pPr>
        <w:pStyle w:val="Numeral"/>
      </w:pPr>
      <w:r w:rsidRPr="0065554C">
        <w:lastRenderedPageBreak/>
        <w:t xml:space="preserve">Podrán participar en la Subasta como Licitantes todas las personas físicas y morales, mexicanas o extranjeras, siempre y cuando cumplan con todos los requisitos mencionados en el numeral </w:t>
      </w:r>
      <w:r w:rsidR="0090017F" w:rsidRPr="0065554C">
        <w:t xml:space="preserve">5.2 y </w:t>
      </w:r>
      <w:r w:rsidRPr="0065554C">
        <w:t>5.</w:t>
      </w:r>
      <w:r w:rsidR="00FE2FAA" w:rsidRPr="0065554C">
        <w:t>3</w:t>
      </w:r>
      <w:r w:rsidRPr="0065554C">
        <w:t xml:space="preserve"> y no se encuentren impedidas en los términos de la legislación aplicable.</w:t>
      </w:r>
    </w:p>
    <w:p w14:paraId="344FA19A" w14:textId="77777777" w:rsidR="001E2B37" w:rsidRPr="0065554C" w:rsidRDefault="001E2B37" w:rsidP="001E2B37">
      <w:pPr>
        <w:pStyle w:val="Numeral"/>
      </w:pPr>
      <w:r w:rsidRPr="0065554C">
        <w:t>En cumplimiento con el</w:t>
      </w:r>
      <w:r w:rsidR="00FA3CA4" w:rsidRPr="0065554C">
        <w:t xml:space="preserve"> </w:t>
      </w:r>
      <w:r w:rsidRPr="0065554C">
        <w:t>numeral 5.6.4 (a) (iv</w:t>
      </w:r>
      <w:r w:rsidR="009003AF" w:rsidRPr="0065554C">
        <w:t>) del</w:t>
      </w:r>
      <w:r w:rsidRPr="0065554C">
        <w:t xml:space="preserve"> Manual de Subastas de Largo Plazo, los </w:t>
      </w:r>
      <w:r w:rsidR="005F7A8C" w:rsidRPr="0065554C">
        <w:t>L</w:t>
      </w:r>
      <w:r w:rsidRPr="0065554C">
        <w:t>icitantes deberán estar registrados u obligarse a registrarse</w:t>
      </w:r>
      <w:r w:rsidR="009D3445" w:rsidRPr="0065554C">
        <w:t>,</w:t>
      </w:r>
      <w:r w:rsidRPr="0065554C">
        <w:t xml:space="preserve"> como Participantes de</w:t>
      </w:r>
      <w:r w:rsidR="007E0F8D" w:rsidRPr="0065554C">
        <w:t>l</w:t>
      </w:r>
      <w:r w:rsidRPr="0065554C">
        <w:t xml:space="preserve"> Mercado en la modalidad de Generador</w:t>
      </w:r>
      <w:r w:rsidR="009D3445" w:rsidRPr="0065554C">
        <w:t>, de conformidad con el</w:t>
      </w:r>
      <w:r w:rsidRPr="0065554C">
        <w:t xml:space="preserve"> Manual de Registro y Acreditación de Participantes de</w:t>
      </w:r>
      <w:r w:rsidR="007E0F8D" w:rsidRPr="0065554C">
        <w:t>l</w:t>
      </w:r>
      <w:r w:rsidRPr="0065554C">
        <w:t xml:space="preserve"> Mercado</w:t>
      </w:r>
      <w:r w:rsidR="009D3445" w:rsidRPr="0065554C">
        <w:t>.</w:t>
      </w:r>
    </w:p>
    <w:p w14:paraId="6DF76157" w14:textId="77777777" w:rsidR="00160338" w:rsidRPr="0065554C" w:rsidRDefault="00160338" w:rsidP="005E311D">
      <w:pPr>
        <w:pStyle w:val="Numeral"/>
      </w:pPr>
      <w:r w:rsidRPr="0065554C">
        <w:t>Con el objeto de que los Interesados se encuentren capacitados para participar en la Subasta, el CENACE proporcionará sesiones de capacitación</w:t>
      </w:r>
      <w:r w:rsidR="00596D75" w:rsidRPr="0065554C">
        <w:t xml:space="preserve"> de acuerdo con lo establecido en el numeral 3.2.4</w:t>
      </w:r>
      <w:r w:rsidRPr="0065554C">
        <w:t>.</w:t>
      </w:r>
    </w:p>
    <w:p w14:paraId="465E42FD" w14:textId="77777777" w:rsidR="00160338" w:rsidRPr="0065554C" w:rsidRDefault="00160338" w:rsidP="00160338">
      <w:pPr>
        <w:pStyle w:val="Seccin"/>
      </w:pPr>
      <w:bookmarkStart w:id="120" w:name="_Toc436487852"/>
      <w:bookmarkStart w:id="121" w:name="_Toc436433756"/>
      <w:bookmarkStart w:id="122" w:name="_Toc450052170"/>
      <w:bookmarkStart w:id="123" w:name="_Toc312964140"/>
      <w:bookmarkStart w:id="124" w:name="_Toc450201412"/>
      <w:bookmarkStart w:id="125" w:name="_Toc450638575"/>
      <w:bookmarkStart w:id="126" w:name="_Toc479255714"/>
      <w:bookmarkStart w:id="127" w:name="_Toc454100233"/>
      <w:bookmarkStart w:id="128" w:name="_Toc479763756"/>
      <w:bookmarkStart w:id="129" w:name="_Toc509413002"/>
      <w:r w:rsidRPr="0065554C">
        <w:t>Personas que no podrán participar en la Subasta</w:t>
      </w:r>
      <w:bookmarkEnd w:id="120"/>
      <w:bookmarkEnd w:id="121"/>
      <w:bookmarkEnd w:id="122"/>
      <w:bookmarkEnd w:id="123"/>
      <w:bookmarkEnd w:id="124"/>
      <w:bookmarkEnd w:id="125"/>
      <w:bookmarkEnd w:id="126"/>
      <w:bookmarkEnd w:id="127"/>
      <w:bookmarkEnd w:id="128"/>
      <w:bookmarkEnd w:id="129"/>
      <w:r w:rsidRPr="0065554C">
        <w:t xml:space="preserve"> </w:t>
      </w:r>
    </w:p>
    <w:p w14:paraId="293CAB78" w14:textId="77777777" w:rsidR="00160338" w:rsidRPr="0065554C" w:rsidRDefault="00160338" w:rsidP="005E311D">
      <w:pPr>
        <w:pStyle w:val="Numeral"/>
      </w:pPr>
      <w:r w:rsidRPr="0065554C">
        <w:t>No podrán participar en la Subasta las personas que se encuentren en cualquiera de los siguientes supuestos:</w:t>
      </w:r>
    </w:p>
    <w:p w14:paraId="178ADFFB" w14:textId="77777777" w:rsidR="00160338" w:rsidRPr="0065554C" w:rsidRDefault="00160338" w:rsidP="005E311D">
      <w:pPr>
        <w:pStyle w:val="Inciso"/>
      </w:pPr>
      <w:r w:rsidRPr="0065554C">
        <w:t>Estén inhabilitados o impedidos por la autoridad competente para contratar con las autoridades federales, en términos de la normatividad aplicable.</w:t>
      </w:r>
    </w:p>
    <w:p w14:paraId="45BF5B4D" w14:textId="77777777" w:rsidR="00160338" w:rsidRPr="0065554C" w:rsidRDefault="00160338" w:rsidP="005E311D">
      <w:pPr>
        <w:pStyle w:val="Inciso"/>
      </w:pPr>
      <w:r w:rsidRPr="0065554C">
        <w:t>Estén sujetas a concurso mercantil u otra figura análoga.</w:t>
      </w:r>
    </w:p>
    <w:p w14:paraId="591E7EE0" w14:textId="77777777" w:rsidR="00160338" w:rsidRPr="0065554C" w:rsidRDefault="00160338" w:rsidP="005E311D">
      <w:pPr>
        <w:pStyle w:val="Inciso"/>
      </w:pPr>
      <w:r w:rsidRPr="0065554C">
        <w:t>Se encuentren en los supuestos de conflicto de interés y transparencia especificados en el Manual de Subastas de Largo Plazo en los numerales 3.6</w:t>
      </w:r>
      <w:r w:rsidR="00FB1622" w:rsidRPr="0065554C">
        <w:t>.2</w:t>
      </w:r>
      <w:r w:rsidR="00CB68F2" w:rsidRPr="0065554C">
        <w:t>,</w:t>
      </w:r>
      <w:r w:rsidR="00FB1622" w:rsidRPr="0065554C">
        <w:t xml:space="preserve"> </w:t>
      </w:r>
      <w:r w:rsidR="00CB68F2" w:rsidRPr="0065554C">
        <w:t xml:space="preserve">3.6.5 </w:t>
      </w:r>
      <w:r w:rsidRPr="0065554C">
        <w:t>y 5.1.6, inciso (g</w:t>
      </w:r>
      <w:r w:rsidR="00F57DC1" w:rsidRPr="0065554C">
        <w:t>).</w:t>
      </w:r>
    </w:p>
    <w:p w14:paraId="01F6326B" w14:textId="77777777" w:rsidR="00160338" w:rsidRPr="0065554C" w:rsidRDefault="00160338" w:rsidP="005E311D">
      <w:pPr>
        <w:pStyle w:val="Inciso"/>
      </w:pPr>
      <w:r w:rsidRPr="0065554C">
        <w:t>Utilicen a terceros para evadir lo dispuesto en este numeral.</w:t>
      </w:r>
    </w:p>
    <w:p w14:paraId="5CF8DA95" w14:textId="77777777" w:rsidR="00160338" w:rsidRPr="0065554C" w:rsidRDefault="00160338" w:rsidP="005E311D">
      <w:pPr>
        <w:pStyle w:val="Inciso"/>
      </w:pPr>
      <w:r w:rsidRPr="0065554C">
        <w:t>Hayan sido inhabilitados en los últimos doce meses, en relación con su participación en la industria eléctrica en México o en los mercados eléctricos en el extranjero.</w:t>
      </w:r>
    </w:p>
    <w:p w14:paraId="51E66A4F" w14:textId="77777777" w:rsidR="00867F32" w:rsidRPr="0065554C" w:rsidRDefault="00867F32" w:rsidP="00867F32">
      <w:pPr>
        <w:pStyle w:val="Inciso"/>
      </w:pPr>
      <w:r w:rsidRPr="0065554C">
        <w:t xml:space="preserve">Le hayan sido ejecutadas cualquiera de las garantías a las que hacen referencia estas Bases de Licitación en el procedimiento de Subasta inmediato anterior.      </w:t>
      </w:r>
    </w:p>
    <w:p w14:paraId="0F8943ED" w14:textId="77777777" w:rsidR="00867F32" w:rsidRPr="0065554C" w:rsidRDefault="00867F32" w:rsidP="00867F32">
      <w:pPr>
        <w:pStyle w:val="Inciso"/>
      </w:pPr>
      <w:r w:rsidRPr="0065554C">
        <w:t xml:space="preserve">Se encuentren en los supuestos especificados en los numerales 3.9.2 y 3.9.3 </w:t>
      </w:r>
    </w:p>
    <w:p w14:paraId="1FFF8BCE" w14:textId="77777777" w:rsidR="00160338" w:rsidRPr="0065554C" w:rsidRDefault="00F57AB4" w:rsidP="00F57AB4">
      <w:pPr>
        <w:pStyle w:val="Numeral"/>
      </w:pPr>
      <w:r w:rsidRPr="0065554C">
        <w:t>Serán desechadas las Ofertas de Venta cuando el Interesado en presentarlas en la Subasta se encuentre en cualquiera de los siguientes supuestos</w:t>
      </w:r>
      <w:r w:rsidR="00160338" w:rsidRPr="0065554C">
        <w:t>:</w:t>
      </w:r>
    </w:p>
    <w:p w14:paraId="29A313DC" w14:textId="77777777" w:rsidR="00160338" w:rsidRPr="0065554C" w:rsidRDefault="00160338" w:rsidP="005E311D">
      <w:pPr>
        <w:pStyle w:val="Inciso"/>
      </w:pPr>
      <w:r w:rsidRPr="0065554C">
        <w:t>sea la misma persona jurídica que algún Comprador Potencial en la Subasta;</w:t>
      </w:r>
    </w:p>
    <w:p w14:paraId="703DB756" w14:textId="77777777" w:rsidR="00160338" w:rsidRPr="0065554C" w:rsidRDefault="00160338" w:rsidP="005E311D">
      <w:pPr>
        <w:pStyle w:val="Inciso"/>
      </w:pPr>
      <w:r w:rsidRPr="0065554C">
        <w:t>tenga el control corporativo de algún Comprador Potencial en la Subasta o sea mayoritariamente dueños del mismo; o,</w:t>
      </w:r>
    </w:p>
    <w:p w14:paraId="0AAF44F9" w14:textId="77777777" w:rsidR="00160338" w:rsidRPr="0065554C" w:rsidRDefault="00160338" w:rsidP="005E311D">
      <w:pPr>
        <w:pStyle w:val="Inciso"/>
      </w:pPr>
      <w:r w:rsidRPr="0065554C">
        <w:t>sea controlados por o sea propiedad de algún Comprador Potencial en la Subasta.</w:t>
      </w:r>
    </w:p>
    <w:p w14:paraId="00F5B923" w14:textId="77777777" w:rsidR="00160338" w:rsidRPr="0065554C" w:rsidRDefault="00160338" w:rsidP="00160338">
      <w:pPr>
        <w:pStyle w:val="Seccin"/>
      </w:pPr>
      <w:bookmarkStart w:id="130" w:name="_Toc436487853"/>
      <w:bookmarkStart w:id="131" w:name="_Toc436433757"/>
      <w:bookmarkStart w:id="132" w:name="_Toc450052171"/>
      <w:bookmarkStart w:id="133" w:name="_Toc312964141"/>
      <w:bookmarkStart w:id="134" w:name="_Toc450201413"/>
      <w:bookmarkStart w:id="135" w:name="_Toc450638576"/>
      <w:bookmarkStart w:id="136" w:name="_Toc479255715"/>
      <w:bookmarkStart w:id="137" w:name="_Toc454100234"/>
      <w:bookmarkStart w:id="138" w:name="_Toc479763757"/>
      <w:bookmarkStart w:id="139" w:name="_Toc509413003"/>
      <w:r w:rsidRPr="0065554C">
        <w:lastRenderedPageBreak/>
        <w:t>Modalidades de participación</w:t>
      </w:r>
      <w:bookmarkEnd w:id="130"/>
      <w:bookmarkEnd w:id="131"/>
      <w:bookmarkEnd w:id="132"/>
      <w:bookmarkEnd w:id="133"/>
      <w:bookmarkEnd w:id="134"/>
      <w:r w:rsidRPr="0065554C">
        <w:t xml:space="preserve"> para Licitantes</w:t>
      </w:r>
      <w:bookmarkEnd w:id="135"/>
      <w:bookmarkEnd w:id="136"/>
      <w:bookmarkEnd w:id="137"/>
      <w:bookmarkEnd w:id="138"/>
      <w:bookmarkEnd w:id="139"/>
    </w:p>
    <w:p w14:paraId="6DCC1B6D" w14:textId="77777777" w:rsidR="00160338" w:rsidRPr="0065554C" w:rsidRDefault="00160338" w:rsidP="005E311D">
      <w:pPr>
        <w:pStyle w:val="Numeral"/>
      </w:pPr>
      <w:r w:rsidRPr="0065554C">
        <w:t xml:space="preserve">Cualquier persona, física o moral, </w:t>
      </w:r>
      <w:r w:rsidRPr="0065554C">
        <w:rPr>
          <w:lang w:eastAsia="es-MX"/>
        </w:rPr>
        <w:t>nacional o extranjera, de forma individual o de manera conjunta, podrá participar en la Subasta como Licitante, siempre y cuando no se encuentre en alguno de los supuestos establecidos en el numeral anterior y cumpla puntualmente con lo previsto en las Bases de Licitación para la modalidad en la que participe.</w:t>
      </w:r>
    </w:p>
    <w:p w14:paraId="4A4508C7" w14:textId="77777777" w:rsidR="00A1225B" w:rsidRPr="0065554C" w:rsidRDefault="00160338" w:rsidP="005E311D">
      <w:pPr>
        <w:pStyle w:val="Numeral"/>
      </w:pPr>
      <w:r w:rsidRPr="0065554C">
        <w:rPr>
          <w:lang w:eastAsia="es-MX"/>
        </w:rPr>
        <w:t xml:space="preserve">Las Bases de Licitación no prevén la obligación de constituir personas morales antes de la presentación de las solicitudes de precalificación de Ofertas de Venta. </w:t>
      </w:r>
    </w:p>
    <w:p w14:paraId="556E9A20" w14:textId="77777777" w:rsidR="00A1225B" w:rsidRPr="0065554C" w:rsidRDefault="00A1225B" w:rsidP="009003AF">
      <w:pPr>
        <w:pStyle w:val="Numeral"/>
        <w:numPr>
          <w:ilvl w:val="0"/>
          <w:numId w:val="0"/>
        </w:numPr>
        <w:ind w:left="1844"/>
        <w:rPr>
          <w:lang w:eastAsia="es-MX"/>
        </w:rPr>
      </w:pPr>
      <w:r w:rsidRPr="0065554C">
        <w:rPr>
          <w:lang w:eastAsia="es-MX"/>
        </w:rPr>
        <w:t>S</w:t>
      </w:r>
      <w:r w:rsidR="00160338" w:rsidRPr="0065554C">
        <w:rPr>
          <w:lang w:eastAsia="es-MX"/>
        </w:rPr>
        <w:t>erá obligatorio para cualquier Licitante que resulte asignatario de uno o más Contratos, suscribir</w:t>
      </w:r>
      <w:r w:rsidR="00AC466B" w:rsidRPr="0065554C">
        <w:rPr>
          <w:lang w:eastAsia="es-MX"/>
        </w:rPr>
        <w:t xml:space="preserve"> dichos Contratos</w:t>
      </w:r>
      <w:r w:rsidR="00502FFD" w:rsidRPr="0065554C">
        <w:rPr>
          <w:lang w:eastAsia="es-MX"/>
        </w:rPr>
        <w:t xml:space="preserve"> </w:t>
      </w:r>
      <w:r w:rsidR="00160338" w:rsidRPr="0065554C">
        <w:rPr>
          <w:lang w:eastAsia="es-MX"/>
        </w:rPr>
        <w:t xml:space="preserve">por sí mismos, siempre que tengan personalidad moral conforme a lo anteriormente descrito, o a través de una persona moral constituida conforme a las leyes mexicanas </w:t>
      </w:r>
      <w:r w:rsidR="00502FFD" w:rsidRPr="0065554C">
        <w:rPr>
          <w:lang w:eastAsia="es-MX"/>
        </w:rPr>
        <w:t>que designe</w:t>
      </w:r>
      <w:r w:rsidR="00502FFD" w:rsidRPr="0065554C" w:rsidDel="00495207">
        <w:rPr>
          <w:lang w:eastAsia="es-MX"/>
        </w:rPr>
        <w:t xml:space="preserve"> </w:t>
      </w:r>
      <w:r w:rsidR="00F57DC1" w:rsidRPr="0065554C">
        <w:rPr>
          <w:lang w:eastAsia="es-MX"/>
        </w:rPr>
        <w:t>para tal efecto</w:t>
      </w:r>
      <w:r w:rsidR="00E82EE7" w:rsidRPr="0065554C">
        <w:rPr>
          <w:lang w:eastAsia="es-MX"/>
        </w:rPr>
        <w:t>.</w:t>
      </w:r>
      <w:r w:rsidR="003B75A8" w:rsidRPr="0065554C">
        <w:rPr>
          <w:lang w:eastAsia="es-MX"/>
        </w:rPr>
        <w:t xml:space="preserve"> </w:t>
      </w:r>
      <w:r w:rsidR="00E82EE7" w:rsidRPr="0065554C">
        <w:rPr>
          <w:lang w:eastAsia="es-MX"/>
        </w:rPr>
        <w:t>E</w:t>
      </w:r>
      <w:r w:rsidR="003B75A8" w:rsidRPr="0065554C">
        <w:rPr>
          <w:lang w:eastAsia="es-MX"/>
        </w:rPr>
        <w:t xml:space="preserve">sta última suscribirá el Contrato como Vendedor en caso de que el Licitante sea el asignatario del Contrato. </w:t>
      </w:r>
      <w:r w:rsidR="00E66ECD" w:rsidRPr="0065554C">
        <w:rPr>
          <w:lang w:eastAsia="es-MX"/>
        </w:rPr>
        <w:t xml:space="preserve"> </w:t>
      </w:r>
    </w:p>
    <w:p w14:paraId="0F1BA3AE" w14:textId="77777777" w:rsidR="00A6416C" w:rsidRPr="0065554C" w:rsidRDefault="00A0677F" w:rsidP="009003AF">
      <w:pPr>
        <w:pStyle w:val="Numeral"/>
        <w:numPr>
          <w:ilvl w:val="0"/>
          <w:numId w:val="0"/>
        </w:numPr>
        <w:ind w:left="1844"/>
        <w:rPr>
          <w:lang w:eastAsia="es-MX"/>
        </w:rPr>
      </w:pPr>
      <w:r w:rsidRPr="0065554C">
        <w:rPr>
          <w:lang w:eastAsia="es-MX"/>
        </w:rPr>
        <w:t>Ante</w:t>
      </w:r>
      <w:r w:rsidR="005535B9" w:rsidRPr="0065554C">
        <w:rPr>
          <w:lang w:eastAsia="es-MX"/>
        </w:rPr>
        <w:t xml:space="preserve"> los supuestos en los que el Licitante que resulte asignatario, est</w:t>
      </w:r>
      <w:r w:rsidR="001939C8" w:rsidRPr="0065554C">
        <w:rPr>
          <w:lang w:eastAsia="es-MX"/>
        </w:rPr>
        <w:t>é</w:t>
      </w:r>
      <w:r w:rsidR="005535B9" w:rsidRPr="0065554C">
        <w:rPr>
          <w:lang w:eastAsia="es-MX"/>
        </w:rPr>
        <w:t xml:space="preserve"> en posibilidades de firmar</w:t>
      </w:r>
      <w:r w:rsidR="00F221F8" w:rsidRPr="0065554C">
        <w:rPr>
          <w:lang w:eastAsia="es-MX"/>
        </w:rPr>
        <w:t xml:space="preserve"> el Contrato</w:t>
      </w:r>
      <w:r w:rsidR="005535B9" w:rsidRPr="0065554C">
        <w:rPr>
          <w:lang w:eastAsia="es-MX"/>
        </w:rPr>
        <w:t xml:space="preserve"> por medio de una Sociedad de Propósito Específico</w:t>
      </w:r>
      <w:r w:rsidR="00E82EE7" w:rsidRPr="0065554C">
        <w:rPr>
          <w:lang w:eastAsia="es-MX"/>
        </w:rPr>
        <w:t>,</w:t>
      </w:r>
      <w:r w:rsidR="005535B9" w:rsidRPr="0065554C">
        <w:rPr>
          <w:lang w:eastAsia="es-MX"/>
        </w:rPr>
        <w:t xml:space="preserve"> ya sea una persona moral existente o una que se obligue a constituir</w:t>
      </w:r>
      <w:r w:rsidR="00A6416C" w:rsidRPr="0065554C">
        <w:rPr>
          <w:lang w:eastAsia="es-MX"/>
        </w:rPr>
        <w:t>;</w:t>
      </w:r>
      <w:r w:rsidR="005535B9" w:rsidRPr="0065554C">
        <w:rPr>
          <w:lang w:eastAsia="es-MX"/>
        </w:rPr>
        <w:t xml:space="preserve"> la persona moral deberá estar</w:t>
      </w:r>
      <w:r w:rsidR="00F221F8" w:rsidRPr="0065554C">
        <w:rPr>
          <w:lang w:eastAsia="es-MX"/>
        </w:rPr>
        <w:t xml:space="preserve"> constituida</w:t>
      </w:r>
      <w:r w:rsidR="005535B9" w:rsidRPr="0065554C">
        <w:rPr>
          <w:lang w:eastAsia="es-MX"/>
        </w:rPr>
        <w:t xml:space="preserve"> o constituirse bajo las leyes mexicanas</w:t>
      </w:r>
      <w:r w:rsidR="00A6416C" w:rsidRPr="0065554C">
        <w:rPr>
          <w:lang w:eastAsia="es-MX"/>
        </w:rPr>
        <w:t xml:space="preserve"> y</w:t>
      </w:r>
      <w:r w:rsidR="005535B9" w:rsidRPr="0065554C">
        <w:rPr>
          <w:lang w:eastAsia="es-MX"/>
        </w:rPr>
        <w:t xml:space="preserve"> el Licitante deberá ser propietario directamente de al menos el 80% de su capital social</w:t>
      </w:r>
      <w:r w:rsidRPr="0065554C">
        <w:rPr>
          <w:lang w:eastAsia="es-MX"/>
        </w:rPr>
        <w:t xml:space="preserve">. </w:t>
      </w:r>
    </w:p>
    <w:p w14:paraId="32630CD3" w14:textId="77777777" w:rsidR="005535B9" w:rsidRPr="0065554C" w:rsidRDefault="00734B26" w:rsidP="009003AF">
      <w:pPr>
        <w:pStyle w:val="Numeral"/>
        <w:numPr>
          <w:ilvl w:val="0"/>
          <w:numId w:val="0"/>
        </w:numPr>
        <w:ind w:left="1844"/>
        <w:rPr>
          <w:lang w:eastAsia="es-MX"/>
        </w:rPr>
      </w:pPr>
      <w:r w:rsidRPr="0065554C">
        <w:rPr>
          <w:lang w:eastAsia="es-MX"/>
        </w:rPr>
        <w:t>E</w:t>
      </w:r>
      <w:r w:rsidR="005535B9" w:rsidRPr="0065554C">
        <w:rPr>
          <w:lang w:eastAsia="es-MX"/>
        </w:rPr>
        <w:t xml:space="preserve">n términos </w:t>
      </w:r>
      <w:r w:rsidR="00A6416C" w:rsidRPr="0065554C">
        <w:rPr>
          <w:lang w:eastAsia="es-MX"/>
        </w:rPr>
        <w:t>d</w:t>
      </w:r>
      <w:r w:rsidR="005535B9" w:rsidRPr="0065554C">
        <w:rPr>
          <w:lang w:eastAsia="es-MX"/>
        </w:rPr>
        <w:t>el anexo que resulte aplicable</w:t>
      </w:r>
      <w:r w:rsidRPr="0065554C">
        <w:rPr>
          <w:lang w:eastAsia="es-MX"/>
        </w:rPr>
        <w:t>, y e</w:t>
      </w:r>
      <w:r w:rsidR="003B75A8" w:rsidRPr="0065554C">
        <w:rPr>
          <w:lang w:eastAsia="es-MX"/>
        </w:rPr>
        <w:t>n caso de que</w:t>
      </w:r>
      <w:r w:rsidR="00A6416C" w:rsidRPr="0065554C">
        <w:rPr>
          <w:lang w:eastAsia="es-MX"/>
        </w:rPr>
        <w:t xml:space="preserve"> presente más de una Oferta de Venta, </w:t>
      </w:r>
      <w:r w:rsidRPr="0065554C">
        <w:rPr>
          <w:lang w:eastAsia="es-MX"/>
        </w:rPr>
        <w:t xml:space="preserve">el Licitante </w:t>
      </w:r>
      <w:r w:rsidR="00A6416C" w:rsidRPr="0065554C">
        <w:rPr>
          <w:lang w:eastAsia="es-MX"/>
        </w:rPr>
        <w:t xml:space="preserve">deberá señalar </w:t>
      </w:r>
      <w:r w:rsidRPr="0065554C">
        <w:rPr>
          <w:lang w:eastAsia="es-MX"/>
        </w:rPr>
        <w:t>las</w:t>
      </w:r>
      <w:r w:rsidR="00A6416C" w:rsidRPr="0065554C">
        <w:rPr>
          <w:lang w:eastAsia="es-MX"/>
        </w:rPr>
        <w:t xml:space="preserve"> Sociedades de Propósito Específico</w:t>
      </w:r>
      <w:r w:rsidR="003B75A8" w:rsidRPr="0065554C">
        <w:rPr>
          <w:lang w:eastAsia="es-MX"/>
        </w:rPr>
        <w:t xml:space="preserve"> con las que suscribirá los Contratos</w:t>
      </w:r>
      <w:r w:rsidR="00A6416C" w:rsidRPr="0065554C">
        <w:rPr>
          <w:lang w:eastAsia="es-MX"/>
        </w:rPr>
        <w:t xml:space="preserve"> y qu</w:t>
      </w:r>
      <w:r w:rsidR="00235DA5" w:rsidRPr="0065554C">
        <w:rPr>
          <w:lang w:eastAsia="es-MX"/>
        </w:rPr>
        <w:t>é</w:t>
      </w:r>
      <w:r w:rsidR="00A6416C" w:rsidRPr="0065554C">
        <w:rPr>
          <w:lang w:eastAsia="es-MX"/>
        </w:rPr>
        <w:t xml:space="preserve"> Oferta de Venta aplica </w:t>
      </w:r>
      <w:r w:rsidRPr="0065554C">
        <w:rPr>
          <w:lang w:eastAsia="es-MX"/>
        </w:rPr>
        <w:t xml:space="preserve">para </w:t>
      </w:r>
      <w:r w:rsidR="00A6416C" w:rsidRPr="0065554C">
        <w:rPr>
          <w:lang w:eastAsia="es-MX"/>
        </w:rPr>
        <w:t xml:space="preserve">cada </w:t>
      </w:r>
      <w:r w:rsidRPr="0065554C">
        <w:rPr>
          <w:lang w:eastAsia="es-MX"/>
        </w:rPr>
        <w:t>Sociedad de Propósito Específico</w:t>
      </w:r>
      <w:r w:rsidR="00623C38" w:rsidRPr="0065554C">
        <w:rPr>
          <w:lang w:eastAsia="es-MX"/>
        </w:rPr>
        <w:t>.</w:t>
      </w:r>
      <w:r w:rsidR="00101FBC" w:rsidRPr="0065554C">
        <w:rPr>
          <w:lang w:eastAsia="es-MX"/>
        </w:rPr>
        <w:t xml:space="preserve"> </w:t>
      </w:r>
      <w:r w:rsidR="00623C38" w:rsidRPr="0065554C">
        <w:rPr>
          <w:lang w:eastAsia="es-MX"/>
        </w:rPr>
        <w:t>E</w:t>
      </w:r>
      <w:r w:rsidR="00101FBC" w:rsidRPr="0065554C">
        <w:rPr>
          <w:lang w:eastAsia="es-MX"/>
        </w:rPr>
        <w:t>s posible</w:t>
      </w:r>
      <w:r w:rsidR="002D4A8D" w:rsidRPr="0065554C">
        <w:rPr>
          <w:lang w:eastAsia="es-MX"/>
        </w:rPr>
        <w:t xml:space="preserve"> </w:t>
      </w:r>
      <w:r w:rsidR="00101FBC" w:rsidRPr="0065554C">
        <w:rPr>
          <w:lang w:eastAsia="es-MX"/>
        </w:rPr>
        <w:t xml:space="preserve">que el Licitante opte por obligarse a firmar determinadas Ofertas de Venta con una sociedad existente y otras con una sociedad que se obligue a </w:t>
      </w:r>
      <w:r w:rsidR="00EB79F2" w:rsidRPr="0065554C">
        <w:rPr>
          <w:lang w:eastAsia="es-MX"/>
        </w:rPr>
        <w:t>constituir</w:t>
      </w:r>
      <w:r w:rsidR="00101FBC" w:rsidRPr="0065554C">
        <w:rPr>
          <w:lang w:eastAsia="es-MX"/>
        </w:rPr>
        <w:t xml:space="preserve">, debiendo presentar los </w:t>
      </w:r>
      <w:r w:rsidR="007970C4" w:rsidRPr="0065554C">
        <w:rPr>
          <w:lang w:eastAsia="es-MX"/>
        </w:rPr>
        <w:t>a</w:t>
      </w:r>
      <w:r w:rsidR="00101FBC" w:rsidRPr="0065554C">
        <w:rPr>
          <w:lang w:eastAsia="es-MX"/>
        </w:rPr>
        <w:t>nexos correspondientes</w:t>
      </w:r>
      <w:r w:rsidR="00623C38" w:rsidRPr="0065554C">
        <w:rPr>
          <w:lang w:eastAsia="es-MX"/>
        </w:rPr>
        <w:t xml:space="preserve"> y</w:t>
      </w:r>
      <w:r w:rsidR="00F552B1" w:rsidRPr="0065554C">
        <w:rPr>
          <w:lang w:eastAsia="es-MX"/>
        </w:rPr>
        <w:t xml:space="preserve"> especificando claramente esta situación</w:t>
      </w:r>
      <w:r w:rsidR="00A6416C" w:rsidRPr="0065554C">
        <w:rPr>
          <w:lang w:eastAsia="es-MX"/>
        </w:rPr>
        <w:t>. En ningún caso se permitirá que se establezca</w:t>
      </w:r>
      <w:r w:rsidR="003B75A8" w:rsidRPr="0065554C">
        <w:rPr>
          <w:lang w:eastAsia="es-MX"/>
        </w:rPr>
        <w:t xml:space="preserve"> por </w:t>
      </w:r>
      <w:r w:rsidR="00A6416C" w:rsidRPr="0065554C">
        <w:rPr>
          <w:lang w:eastAsia="es-MX"/>
        </w:rPr>
        <w:t>Oferta de Venta más de una Sociedad que suscriba el Contrato.</w:t>
      </w:r>
    </w:p>
    <w:p w14:paraId="1CEFC07D" w14:textId="77777777" w:rsidR="00C41442" w:rsidRPr="0065554C" w:rsidRDefault="00C41442" w:rsidP="00C41442">
      <w:pPr>
        <w:pStyle w:val="Numeral"/>
      </w:pPr>
      <w:r w:rsidRPr="0065554C">
        <w:rPr>
          <w:lang w:eastAsia="es-MX"/>
        </w:rPr>
        <w:t>Cuando</w:t>
      </w:r>
      <w:r w:rsidR="00160338" w:rsidRPr="0065554C">
        <w:rPr>
          <w:lang w:eastAsia="es-MX"/>
        </w:rPr>
        <w:t xml:space="preserve"> el Licitante </w:t>
      </w:r>
      <w:r w:rsidRPr="0065554C">
        <w:rPr>
          <w:lang w:eastAsia="es-MX"/>
        </w:rPr>
        <w:t>sea</w:t>
      </w:r>
      <w:r w:rsidR="00160338" w:rsidRPr="0065554C">
        <w:rPr>
          <w:lang w:eastAsia="es-MX"/>
        </w:rPr>
        <w:t xml:space="preserve"> un Consorcio, el Contrato </w:t>
      </w:r>
      <w:r w:rsidR="00F03A83" w:rsidRPr="0065554C">
        <w:rPr>
          <w:lang w:eastAsia="es-MX"/>
        </w:rPr>
        <w:t>podrá</w:t>
      </w:r>
      <w:r w:rsidRPr="0065554C">
        <w:rPr>
          <w:lang w:eastAsia="es-MX"/>
        </w:rPr>
        <w:t xml:space="preserve"> </w:t>
      </w:r>
      <w:r w:rsidR="00160338" w:rsidRPr="0065554C">
        <w:rPr>
          <w:lang w:eastAsia="es-MX"/>
        </w:rPr>
        <w:t>suscribirlo la Sociedad de Propósito Específico que los miembros del Consorcio designen o se obliguen a constituir para ese supuesto, o bien, podrán suscribirlo directamente los miembros del Consorcio siempre y cuando sean personas morales constituidas conforme a las leyes mexicanas</w:t>
      </w:r>
      <w:r w:rsidR="00160338" w:rsidRPr="0065554C">
        <w:t>, en cuyo caso todos los miembros del Consorcio serán solidariamente responsables</w:t>
      </w:r>
      <w:r w:rsidR="003B75A8" w:rsidRPr="0065554C">
        <w:t>, y</w:t>
      </w:r>
      <w:r w:rsidR="00F552B1" w:rsidRPr="0065554C">
        <w:t xml:space="preserve"> deberán</w:t>
      </w:r>
      <w:r w:rsidR="003B75A8" w:rsidRPr="0065554C">
        <w:t xml:space="preserve"> presentar el </w:t>
      </w:r>
      <w:r w:rsidR="003B75A8" w:rsidRPr="0065554C">
        <w:rPr>
          <w:b/>
        </w:rPr>
        <w:t xml:space="preserve">Anexo </w:t>
      </w:r>
      <w:r w:rsidR="00F552B1" w:rsidRPr="0065554C">
        <w:rPr>
          <w:b/>
        </w:rPr>
        <w:t>III.2d</w:t>
      </w:r>
      <w:r w:rsidRPr="0065554C">
        <w:t xml:space="preserve">. Si entre los miembros del consorcio se encuentra </w:t>
      </w:r>
      <w:r w:rsidR="00F03A83" w:rsidRPr="0065554C">
        <w:t>una persona moral extranjera o una persona física, el Contrato</w:t>
      </w:r>
      <w:r w:rsidRPr="0065554C">
        <w:t xml:space="preserve"> deberá suscribirse</w:t>
      </w:r>
      <w:r w:rsidR="00F03A83" w:rsidRPr="0065554C">
        <w:t xml:space="preserve"> por medio de una Sociedad de Propósito Específico. </w:t>
      </w:r>
    </w:p>
    <w:p w14:paraId="34B839FA" w14:textId="77777777" w:rsidR="00C41442" w:rsidRPr="0065554C" w:rsidRDefault="00C41442" w:rsidP="009003AF">
      <w:pPr>
        <w:pStyle w:val="Numeral"/>
        <w:numPr>
          <w:ilvl w:val="0"/>
          <w:numId w:val="0"/>
        </w:numPr>
        <w:ind w:left="1844"/>
        <w:rPr>
          <w:lang w:eastAsia="es-MX"/>
        </w:rPr>
      </w:pPr>
      <w:r w:rsidRPr="0065554C">
        <w:rPr>
          <w:lang w:eastAsia="es-MX"/>
        </w:rPr>
        <w:t>En caso</w:t>
      </w:r>
      <w:r w:rsidR="00CB1511" w:rsidRPr="0065554C">
        <w:rPr>
          <w:lang w:eastAsia="es-MX"/>
        </w:rPr>
        <w:t xml:space="preserve"> de</w:t>
      </w:r>
      <w:r w:rsidRPr="0065554C">
        <w:rPr>
          <w:lang w:eastAsia="es-MX"/>
        </w:rPr>
        <w:t xml:space="preserve"> obligarse a constituir una persona moral conforme a las leyes mexicanas, deberán hacerlo en los términos del formato contenido en el </w:t>
      </w:r>
      <w:r w:rsidRPr="0065554C">
        <w:rPr>
          <w:b/>
          <w:lang w:eastAsia="es-MX"/>
        </w:rPr>
        <w:t>Anexo III.2a</w:t>
      </w:r>
      <w:r w:rsidRPr="0065554C">
        <w:rPr>
          <w:lang w:eastAsia="es-MX"/>
        </w:rPr>
        <w:t>, acompañado del proyecto de estatutos sociales correspondiente en los cuales se refleje claramente que</w:t>
      </w:r>
      <w:r w:rsidR="00CB1511" w:rsidRPr="0065554C">
        <w:rPr>
          <w:lang w:eastAsia="es-MX"/>
        </w:rPr>
        <w:t xml:space="preserve"> el Consorcio</w:t>
      </w:r>
      <w:r w:rsidRPr="0065554C">
        <w:rPr>
          <w:lang w:eastAsia="es-MX"/>
        </w:rPr>
        <w:t xml:space="preserve"> </w:t>
      </w:r>
      <w:r w:rsidR="00091A1B" w:rsidRPr="0065554C">
        <w:rPr>
          <w:lang w:eastAsia="es-MX"/>
        </w:rPr>
        <w:t>es propietario</w:t>
      </w:r>
      <w:r w:rsidRPr="0065554C">
        <w:rPr>
          <w:lang w:eastAsia="es-MX"/>
        </w:rPr>
        <w:t xml:space="preserve"> de al menos el 80%</w:t>
      </w:r>
      <w:r w:rsidR="0068360A" w:rsidRPr="0065554C">
        <w:rPr>
          <w:lang w:eastAsia="es-MX"/>
        </w:rPr>
        <w:t xml:space="preserve"> directo</w:t>
      </w:r>
      <w:r w:rsidRPr="0065554C">
        <w:rPr>
          <w:lang w:eastAsia="es-MX"/>
        </w:rPr>
        <w:t xml:space="preserve"> del capital social.</w:t>
      </w:r>
      <w:r w:rsidR="00A0677F" w:rsidRPr="0065554C">
        <w:rPr>
          <w:lang w:eastAsia="es-MX"/>
        </w:rPr>
        <w:t xml:space="preserve"> </w:t>
      </w:r>
    </w:p>
    <w:p w14:paraId="1A94F900" w14:textId="77777777" w:rsidR="00C41442" w:rsidRPr="0065554C" w:rsidRDefault="00C41442" w:rsidP="007970C4">
      <w:pPr>
        <w:pStyle w:val="Numeral"/>
        <w:numPr>
          <w:ilvl w:val="0"/>
          <w:numId w:val="0"/>
        </w:numPr>
        <w:ind w:left="1844"/>
        <w:rPr>
          <w:lang w:eastAsia="es-MX"/>
        </w:rPr>
      </w:pPr>
      <w:r w:rsidRPr="0065554C">
        <w:rPr>
          <w:lang w:eastAsia="es-MX"/>
        </w:rPr>
        <w:t xml:space="preserve">En caso de </w:t>
      </w:r>
      <w:r w:rsidR="00CB1511" w:rsidRPr="0065554C">
        <w:rPr>
          <w:lang w:eastAsia="es-MX"/>
        </w:rPr>
        <w:t xml:space="preserve">obligarse </w:t>
      </w:r>
      <w:r w:rsidRPr="0065554C">
        <w:rPr>
          <w:lang w:eastAsia="es-MX"/>
        </w:rPr>
        <w:t xml:space="preserve">suscribir el contrato a través de una </w:t>
      </w:r>
      <w:r w:rsidR="00A13EBA" w:rsidRPr="0065554C">
        <w:rPr>
          <w:lang w:eastAsia="es-MX"/>
        </w:rPr>
        <w:t>persona moral</w:t>
      </w:r>
      <w:r w:rsidRPr="0065554C">
        <w:rPr>
          <w:lang w:eastAsia="es-MX"/>
        </w:rPr>
        <w:t xml:space="preserve"> existente, deberán hacerlo en términos del formato contenido en el </w:t>
      </w:r>
      <w:r w:rsidRPr="0065554C">
        <w:rPr>
          <w:b/>
          <w:lang w:eastAsia="es-MX"/>
        </w:rPr>
        <w:t>Anexo III.2b</w:t>
      </w:r>
      <w:r w:rsidRPr="0065554C">
        <w:rPr>
          <w:lang w:eastAsia="es-MX"/>
        </w:rPr>
        <w:t xml:space="preserve">, acompañado de los estatutos </w:t>
      </w:r>
      <w:r w:rsidRPr="0065554C">
        <w:rPr>
          <w:lang w:eastAsia="es-MX"/>
        </w:rPr>
        <w:lastRenderedPageBreak/>
        <w:t xml:space="preserve">sociales o bien del proyecto de modificación de dichos estatutos, en los cuales se refleje claramente que </w:t>
      </w:r>
      <w:r w:rsidR="00CB1511" w:rsidRPr="0065554C">
        <w:rPr>
          <w:lang w:eastAsia="es-MX"/>
        </w:rPr>
        <w:t>el Consorcio</w:t>
      </w:r>
      <w:r w:rsidR="003B75A8" w:rsidRPr="0065554C">
        <w:rPr>
          <w:lang w:eastAsia="es-MX"/>
        </w:rPr>
        <w:t xml:space="preserve"> </w:t>
      </w:r>
      <w:r w:rsidRPr="0065554C">
        <w:rPr>
          <w:lang w:eastAsia="es-MX"/>
        </w:rPr>
        <w:t xml:space="preserve">será </w:t>
      </w:r>
      <w:r w:rsidR="00CB1511" w:rsidRPr="0065554C">
        <w:rPr>
          <w:lang w:eastAsia="es-MX"/>
        </w:rPr>
        <w:t>el</w:t>
      </w:r>
      <w:r w:rsidRPr="0065554C">
        <w:rPr>
          <w:lang w:eastAsia="es-MX"/>
        </w:rPr>
        <w:t xml:space="preserve"> propietari</w:t>
      </w:r>
      <w:r w:rsidR="003B75A8" w:rsidRPr="0065554C">
        <w:rPr>
          <w:lang w:eastAsia="es-MX"/>
        </w:rPr>
        <w:t>o</w:t>
      </w:r>
      <w:r w:rsidRPr="0065554C">
        <w:rPr>
          <w:lang w:eastAsia="es-MX"/>
        </w:rPr>
        <w:t xml:space="preserve"> direct</w:t>
      </w:r>
      <w:r w:rsidR="003B75A8" w:rsidRPr="0065554C">
        <w:rPr>
          <w:lang w:eastAsia="es-MX"/>
        </w:rPr>
        <w:t>o</w:t>
      </w:r>
      <w:r w:rsidRPr="0065554C">
        <w:rPr>
          <w:lang w:eastAsia="es-MX"/>
        </w:rPr>
        <w:t xml:space="preserve"> de al menos el 80% del capital social.</w:t>
      </w:r>
    </w:p>
    <w:p w14:paraId="60212BEC" w14:textId="77777777" w:rsidR="00160338" w:rsidRPr="0065554C" w:rsidRDefault="00160338" w:rsidP="005E311D">
      <w:pPr>
        <w:pStyle w:val="Numeral"/>
      </w:pPr>
      <w:r w:rsidRPr="0065554C">
        <w:rPr>
          <w:lang w:eastAsia="es-MX"/>
        </w:rPr>
        <w:t xml:space="preserve">Cuando sea una sola persona física la que participe en la Subasta como Licitante, esa persona física designará o deberá obligarse en los términos del formato contenido en el </w:t>
      </w:r>
      <w:r w:rsidRPr="0065554C">
        <w:rPr>
          <w:b/>
        </w:rPr>
        <w:t xml:space="preserve">Anexo </w:t>
      </w:r>
      <w:r w:rsidRPr="0065554C">
        <w:rPr>
          <w:b/>
          <w:lang w:eastAsia="es-MX"/>
        </w:rPr>
        <w:t>III.1</w:t>
      </w:r>
      <w:r w:rsidR="00D1544C" w:rsidRPr="0065554C">
        <w:rPr>
          <w:b/>
          <w:lang w:eastAsia="es-MX"/>
        </w:rPr>
        <w:t>a</w:t>
      </w:r>
      <w:r w:rsidRPr="0065554C">
        <w:rPr>
          <w:lang w:eastAsia="es-MX"/>
        </w:rPr>
        <w:t xml:space="preserve"> a constituir una persona moral</w:t>
      </w:r>
      <w:r w:rsidR="00FB1622" w:rsidRPr="0065554C">
        <w:rPr>
          <w:lang w:eastAsia="es-MX"/>
        </w:rPr>
        <w:t>,</w:t>
      </w:r>
      <w:r w:rsidRPr="0065554C">
        <w:rPr>
          <w:lang w:eastAsia="es-MX"/>
        </w:rPr>
        <w:t xml:space="preserve"> conforme a las leyes mexicanas, de la que la persona física sea propietaria de al menos el 80% </w:t>
      </w:r>
      <w:r w:rsidR="0068360A" w:rsidRPr="0065554C">
        <w:rPr>
          <w:lang w:eastAsia="es-MX"/>
        </w:rPr>
        <w:t>directo</w:t>
      </w:r>
      <w:r w:rsidR="00091A1B" w:rsidRPr="0065554C">
        <w:rPr>
          <w:lang w:eastAsia="es-MX"/>
        </w:rPr>
        <w:t xml:space="preserve"> </w:t>
      </w:r>
      <w:r w:rsidRPr="0065554C">
        <w:rPr>
          <w:lang w:eastAsia="es-MX"/>
        </w:rPr>
        <w:t xml:space="preserve">de su capital social. Dicha persona moral será la entidad que suscribirá el Contrato como Vendedor en caso de que el Licitante sea el asignatario del Contrato. El anexo antes aludido deberá estar acompañado del proyecto de estatutos sociales correspondiente, en los cuales se refleje claramente que esa persona física será la </w:t>
      </w:r>
      <w:r w:rsidR="0074089E" w:rsidRPr="0065554C">
        <w:rPr>
          <w:lang w:eastAsia="es-MX"/>
        </w:rPr>
        <w:t>propietaria</w:t>
      </w:r>
      <w:r w:rsidR="00D1544C" w:rsidRPr="0065554C">
        <w:rPr>
          <w:lang w:eastAsia="es-MX"/>
        </w:rPr>
        <w:t xml:space="preserve"> directa</w:t>
      </w:r>
      <w:r w:rsidRPr="0065554C">
        <w:rPr>
          <w:lang w:eastAsia="es-MX"/>
        </w:rPr>
        <w:t xml:space="preserve"> de al menos el 80% del capital social.</w:t>
      </w:r>
    </w:p>
    <w:p w14:paraId="739EDC0A" w14:textId="77777777" w:rsidR="00D1544C" w:rsidRPr="0065554C" w:rsidRDefault="00D1544C" w:rsidP="007970C4">
      <w:pPr>
        <w:pStyle w:val="Numeral"/>
        <w:numPr>
          <w:ilvl w:val="0"/>
          <w:numId w:val="0"/>
        </w:numPr>
        <w:ind w:left="1844"/>
        <w:rPr>
          <w:lang w:eastAsia="es-MX"/>
        </w:rPr>
      </w:pPr>
      <w:r w:rsidRPr="0065554C">
        <w:rPr>
          <w:lang w:eastAsia="es-MX"/>
        </w:rPr>
        <w:t>En caso de que una sola persona física desee suscribir el contrato en caso de ser asignatario, a través de una Sociedad de Propósito Especifico existente</w:t>
      </w:r>
      <w:r w:rsidR="0069334F" w:rsidRPr="0065554C">
        <w:rPr>
          <w:lang w:eastAsia="es-MX"/>
        </w:rPr>
        <w:t>,</w:t>
      </w:r>
      <w:r w:rsidRPr="0065554C">
        <w:rPr>
          <w:lang w:eastAsia="es-MX"/>
        </w:rPr>
        <w:t xml:space="preserve"> deberá hacerlo en términos del formato contenido en el </w:t>
      </w:r>
      <w:r w:rsidRPr="0065554C">
        <w:rPr>
          <w:b/>
          <w:lang w:eastAsia="es-MX"/>
        </w:rPr>
        <w:t>Anexo III.1b</w:t>
      </w:r>
      <w:r w:rsidRPr="0065554C">
        <w:rPr>
          <w:lang w:eastAsia="es-MX"/>
        </w:rPr>
        <w:t>, en el entendido de que esta sociedad deberá estar constituida conforme a las leyes mexicanas. El anexo antes aludido deberá estar acompañado de los estatutos sociales o bien del proyecto de modificación de dichos estatutos, en los cuales se refleje claramente que esa persona física será la propietaria directa de al menos el 80% del capital social.</w:t>
      </w:r>
    </w:p>
    <w:p w14:paraId="306C6DA2" w14:textId="77777777" w:rsidR="00CB1511" w:rsidRPr="0065554C" w:rsidRDefault="00160338" w:rsidP="005E311D">
      <w:pPr>
        <w:pStyle w:val="Numeral"/>
      </w:pPr>
      <w:r w:rsidRPr="0065554C">
        <w:rPr>
          <w:lang w:eastAsia="es-MX"/>
        </w:rPr>
        <w:t xml:space="preserve">Cuando sea una sola persona </w:t>
      </w:r>
      <w:r w:rsidR="00EB79F2" w:rsidRPr="0065554C">
        <w:rPr>
          <w:lang w:eastAsia="es-MX"/>
        </w:rPr>
        <w:t>moral constituida</w:t>
      </w:r>
      <w:r w:rsidR="00757298" w:rsidRPr="0065554C">
        <w:rPr>
          <w:lang w:eastAsia="es-MX"/>
        </w:rPr>
        <w:t xml:space="preserve"> conforme a las leyes mexicanas </w:t>
      </w:r>
      <w:r w:rsidRPr="0065554C">
        <w:rPr>
          <w:lang w:eastAsia="es-MX"/>
        </w:rPr>
        <w:t>la que participe</w:t>
      </w:r>
      <w:r w:rsidR="00757298" w:rsidRPr="0065554C">
        <w:rPr>
          <w:lang w:eastAsia="es-MX"/>
        </w:rPr>
        <w:t xml:space="preserve"> como Licitante</w:t>
      </w:r>
      <w:r w:rsidRPr="0065554C">
        <w:rPr>
          <w:lang w:eastAsia="es-MX"/>
        </w:rPr>
        <w:t xml:space="preserve"> </w:t>
      </w:r>
      <w:r w:rsidR="00757298" w:rsidRPr="0065554C">
        <w:rPr>
          <w:rFonts w:eastAsia="Times New Roman"/>
          <w:lang w:eastAsia="es-MX"/>
        </w:rPr>
        <w:t>en caso de que resulte asignatario</w:t>
      </w:r>
      <w:r w:rsidR="00757298" w:rsidRPr="0065554C">
        <w:rPr>
          <w:lang w:eastAsia="es-MX"/>
        </w:rPr>
        <w:t xml:space="preserve"> </w:t>
      </w:r>
      <w:r w:rsidRPr="0065554C">
        <w:rPr>
          <w:rFonts w:eastAsia="Times New Roman"/>
          <w:lang w:eastAsia="es-MX"/>
        </w:rPr>
        <w:t>podrá suscribir el Contrato directamente</w:t>
      </w:r>
      <w:r w:rsidR="00101FBC" w:rsidRPr="0065554C">
        <w:rPr>
          <w:rFonts w:eastAsia="Times New Roman"/>
          <w:lang w:eastAsia="es-MX"/>
        </w:rPr>
        <w:t xml:space="preserve"> para lo cual deberá presentar el </w:t>
      </w:r>
      <w:r w:rsidR="00101FBC" w:rsidRPr="0065554C">
        <w:rPr>
          <w:rFonts w:eastAsia="Times New Roman"/>
          <w:b/>
          <w:lang w:eastAsia="es-MX"/>
        </w:rPr>
        <w:t xml:space="preserve">Anexo </w:t>
      </w:r>
      <w:r w:rsidR="00FB72AC" w:rsidRPr="0065554C">
        <w:rPr>
          <w:rFonts w:eastAsia="Times New Roman"/>
          <w:b/>
          <w:lang w:eastAsia="es-MX"/>
        </w:rPr>
        <w:t>III.2c</w:t>
      </w:r>
      <w:r w:rsidR="00757298" w:rsidRPr="0065554C">
        <w:rPr>
          <w:lang w:eastAsia="es-MX"/>
        </w:rPr>
        <w:t xml:space="preserve">; sin </w:t>
      </w:r>
      <w:r w:rsidR="007970C4" w:rsidRPr="0065554C">
        <w:rPr>
          <w:lang w:eastAsia="es-MX"/>
        </w:rPr>
        <w:t>embargo,</w:t>
      </w:r>
      <w:r w:rsidR="00BB2C96" w:rsidRPr="0065554C">
        <w:rPr>
          <w:lang w:eastAsia="es-MX"/>
        </w:rPr>
        <w:t xml:space="preserve"> si lo prefiere podrá obligarse suscribir el Contrato por medio de la Sociedad de Propósito Específico que designe u obligarse</w:t>
      </w:r>
      <w:r w:rsidR="00757298" w:rsidRPr="0065554C">
        <w:rPr>
          <w:lang w:eastAsia="es-MX"/>
        </w:rPr>
        <w:t xml:space="preserve"> a constituir una persona moral</w:t>
      </w:r>
      <w:r w:rsidR="00FB72AC" w:rsidRPr="0065554C">
        <w:rPr>
          <w:lang w:eastAsia="es-MX"/>
        </w:rPr>
        <w:t xml:space="preserve"> para lo cual deberá presentar el anexo correspondiente</w:t>
      </w:r>
      <w:r w:rsidR="00091A1B" w:rsidRPr="0065554C">
        <w:rPr>
          <w:lang w:eastAsia="es-MX"/>
        </w:rPr>
        <w:t>.</w:t>
      </w:r>
    </w:p>
    <w:p w14:paraId="4AB6BF63" w14:textId="77777777" w:rsidR="00160338" w:rsidRPr="0065554C" w:rsidRDefault="00CB1511" w:rsidP="007970C4">
      <w:pPr>
        <w:pStyle w:val="Numeral"/>
        <w:numPr>
          <w:ilvl w:val="0"/>
          <w:numId w:val="0"/>
        </w:numPr>
        <w:ind w:left="1844"/>
        <w:rPr>
          <w:lang w:eastAsia="es-MX"/>
        </w:rPr>
      </w:pPr>
      <w:r w:rsidRPr="0065554C">
        <w:rPr>
          <w:lang w:eastAsia="es-MX"/>
        </w:rPr>
        <w:t xml:space="preserve">En caso de que el Licitante sea una persona moral extranjera </w:t>
      </w:r>
      <w:r w:rsidR="00160338" w:rsidRPr="0065554C">
        <w:rPr>
          <w:lang w:eastAsia="es-MX"/>
        </w:rPr>
        <w:t xml:space="preserve">deberá obligarse, en los términos del formato contenido en el </w:t>
      </w:r>
      <w:r w:rsidR="00160338" w:rsidRPr="0065554C">
        <w:rPr>
          <w:b/>
          <w:lang w:eastAsia="es-MX"/>
        </w:rPr>
        <w:t>Anexo III.2</w:t>
      </w:r>
      <w:r w:rsidR="00D1544C" w:rsidRPr="0065554C">
        <w:rPr>
          <w:b/>
          <w:lang w:eastAsia="es-MX"/>
        </w:rPr>
        <w:t>a</w:t>
      </w:r>
      <w:r w:rsidR="00160338" w:rsidRPr="0065554C">
        <w:rPr>
          <w:lang w:eastAsia="es-MX"/>
        </w:rPr>
        <w:t xml:space="preserve">, a constituir una persona moral conforme a las leyes mexicanas, de la que sea propietaria directamente de al menos el 80% de su capital social. Esta última persona moral suscribirá el Contrato como Vendedor en caso de que el Licitante sea el asignatario del Contrato. El </w:t>
      </w:r>
      <w:r w:rsidR="007970C4" w:rsidRPr="0065554C">
        <w:rPr>
          <w:lang w:eastAsia="es-MX"/>
        </w:rPr>
        <w:t>a</w:t>
      </w:r>
      <w:r w:rsidR="00160338" w:rsidRPr="0065554C">
        <w:rPr>
          <w:lang w:eastAsia="es-MX"/>
        </w:rPr>
        <w:t xml:space="preserve">nexo antes aludido deberá estar acompañado del proyecto de estatutos sociales correspondiente en los cuales se refleje claramente que esa persona moral es la </w:t>
      </w:r>
      <w:r w:rsidR="0074089E" w:rsidRPr="0065554C">
        <w:rPr>
          <w:lang w:eastAsia="es-MX"/>
        </w:rPr>
        <w:t>propietaria</w:t>
      </w:r>
      <w:r w:rsidR="00160338" w:rsidRPr="0065554C">
        <w:rPr>
          <w:lang w:eastAsia="es-MX"/>
        </w:rPr>
        <w:t xml:space="preserve"> de al menos el 80% </w:t>
      </w:r>
      <w:r w:rsidR="00FB72AC" w:rsidRPr="0065554C">
        <w:rPr>
          <w:lang w:eastAsia="es-MX"/>
        </w:rPr>
        <w:t xml:space="preserve">directo </w:t>
      </w:r>
      <w:r w:rsidR="00160338" w:rsidRPr="0065554C">
        <w:rPr>
          <w:lang w:eastAsia="es-MX"/>
        </w:rPr>
        <w:t>del capital social.</w:t>
      </w:r>
    </w:p>
    <w:p w14:paraId="5FD90324" w14:textId="77777777" w:rsidR="00D1544C" w:rsidRPr="0065554C" w:rsidRDefault="00D1544C" w:rsidP="007970C4">
      <w:pPr>
        <w:pStyle w:val="Numeral"/>
        <w:numPr>
          <w:ilvl w:val="0"/>
          <w:numId w:val="0"/>
        </w:numPr>
        <w:ind w:left="1844"/>
        <w:rPr>
          <w:lang w:eastAsia="es-MX"/>
        </w:rPr>
      </w:pPr>
      <w:r w:rsidRPr="0065554C">
        <w:rPr>
          <w:lang w:eastAsia="es-MX"/>
        </w:rPr>
        <w:t>En caso de que desee suscribir el contrato a través de una Sociedad de Propósito Especifico existente</w:t>
      </w:r>
      <w:r w:rsidR="005F7A8C" w:rsidRPr="0065554C">
        <w:rPr>
          <w:lang w:eastAsia="es-MX"/>
        </w:rPr>
        <w:t>,</w:t>
      </w:r>
      <w:r w:rsidRPr="0065554C">
        <w:rPr>
          <w:lang w:eastAsia="es-MX"/>
        </w:rPr>
        <w:t xml:space="preserve"> deberá</w:t>
      </w:r>
      <w:r w:rsidR="005F7A8C" w:rsidRPr="0065554C">
        <w:rPr>
          <w:lang w:eastAsia="es-MX"/>
        </w:rPr>
        <w:t>n</w:t>
      </w:r>
      <w:r w:rsidRPr="0065554C">
        <w:rPr>
          <w:lang w:eastAsia="es-MX"/>
        </w:rPr>
        <w:t xml:space="preserve"> hacerlo en términos del formato contenido en el </w:t>
      </w:r>
      <w:r w:rsidRPr="0065554C">
        <w:rPr>
          <w:b/>
          <w:lang w:eastAsia="es-MX"/>
        </w:rPr>
        <w:t>Anexo III.2b</w:t>
      </w:r>
      <w:r w:rsidRPr="0065554C">
        <w:rPr>
          <w:lang w:eastAsia="es-MX"/>
        </w:rPr>
        <w:t>, en el entendido de que esta sociedad deberá estar constituida conforme a las leyes mexicanas. El anexo antes aludido deberá estar acompañado de los estatutos sociales o bien del proyecto de modificación de dichos estatutos, en los cuales se refleje claramente que esa persona moral o el Consorcio será la propietaria directa de al menos el 80% del capital social.</w:t>
      </w:r>
    </w:p>
    <w:p w14:paraId="235A758A" w14:textId="77777777" w:rsidR="00160338" w:rsidRPr="0065554C" w:rsidRDefault="00160338" w:rsidP="005E311D">
      <w:pPr>
        <w:pStyle w:val="Numeral"/>
      </w:pPr>
      <w:r w:rsidRPr="0065554C">
        <w:rPr>
          <w:lang w:eastAsia="es-MX"/>
        </w:rPr>
        <w:t xml:space="preserve">Cuando dos o más personas, sean físicas o morales, deseen participar de manera conjunta en la Subasta, deberán hacerlo bajo la figura de Consorcio. Los miembros de ese Consorcio serán considerados en forma conjunta como un Licitante. Si ese grupo de dos o más personas optan por constituir una nueva persona moral para participar en la Subasta a </w:t>
      </w:r>
      <w:r w:rsidRPr="0065554C">
        <w:rPr>
          <w:lang w:eastAsia="es-MX"/>
        </w:rPr>
        <w:lastRenderedPageBreak/>
        <w:t xml:space="preserve">través de esa nueva persona moral, en realidad se estarán ubicando en el supuesto a que hace referencia el numeral </w:t>
      </w:r>
      <w:r w:rsidRPr="0065554C">
        <w:t xml:space="preserve">3.5.4 </w:t>
      </w:r>
      <w:r w:rsidRPr="0065554C">
        <w:rPr>
          <w:lang w:eastAsia="es-MX"/>
        </w:rPr>
        <w:t>anterior y deberán cumplir con lo ahí previsto.</w:t>
      </w:r>
    </w:p>
    <w:p w14:paraId="605BF377" w14:textId="77777777" w:rsidR="00160338" w:rsidRPr="0065554C" w:rsidRDefault="00160338" w:rsidP="005E311D">
      <w:pPr>
        <w:pStyle w:val="Numeral"/>
      </w:pPr>
      <w:r w:rsidRPr="0065554C">
        <w:t xml:space="preserve">Para participar </w:t>
      </w:r>
      <w:r w:rsidRPr="0065554C">
        <w:rPr>
          <w:rFonts w:eastAsia="Times New Roman"/>
          <w:lang w:eastAsia="es-MX"/>
        </w:rPr>
        <w:t xml:space="preserve">en la Subasta </w:t>
      </w:r>
      <w:r w:rsidRPr="0065554C">
        <w:t>como Consorcio</w:t>
      </w:r>
      <w:r w:rsidRPr="0065554C">
        <w:rPr>
          <w:rFonts w:eastAsia="Times New Roman"/>
          <w:lang w:eastAsia="es-MX"/>
        </w:rPr>
        <w:t xml:space="preserve"> será necesario celebrar y acompañar</w:t>
      </w:r>
      <w:r w:rsidRPr="0065554C">
        <w:t xml:space="preserve"> en la solicitud de precalificación de Oferta de Venta el Convenio Consorcial correspondiente, </w:t>
      </w:r>
      <w:r w:rsidRPr="0065554C">
        <w:rPr>
          <w:rFonts w:eastAsia="Times New Roman"/>
          <w:lang w:eastAsia="es-MX"/>
        </w:rPr>
        <w:t xml:space="preserve">cuyo formato se establece en el </w:t>
      </w:r>
      <w:r w:rsidRPr="0065554C">
        <w:rPr>
          <w:b/>
        </w:rPr>
        <w:t>Anexo III.3</w:t>
      </w:r>
      <w:r w:rsidRPr="0065554C">
        <w:t xml:space="preserve">. El Convenio Consorcial será suscrito por todos los miembros del Consorcio, y contendrá el detalle de los derechos y obligaciones de cada uno de ellos con respecto a su participación en la Subasta y, en su caso, con respecto a su participación en los Contratos de los que resulten asignatarios como Consorcio, en el entendido de que todos los miembros del Consorcio serán obligados solidarios con respecto de las obligaciones que deriven de dicho Convenio Consorcial. Cabe aclarar que lo anterior no implica necesariamente que los miembros del Consorcio serán solidariamente responsables de las obligaciones que deriven para el Vendedor en el Contrato de Cobertura Eléctrica que suscriban, ya que ello sólo ocurrirá si los miembros del Consorcio hayan optado por suscribir directamente ese Contrato. Si en su Oferta de Venta </w:t>
      </w:r>
      <w:r w:rsidR="00FB1622" w:rsidRPr="0065554C">
        <w:t xml:space="preserve">se señala que </w:t>
      </w:r>
      <w:r w:rsidRPr="0065554C">
        <w:t xml:space="preserve">el Consorcio </w:t>
      </w:r>
      <w:r w:rsidR="00FB1622" w:rsidRPr="0065554C">
        <w:t>ha optado</w:t>
      </w:r>
      <w:r w:rsidRPr="0065554C">
        <w:t xml:space="preserve"> por constituir una nueva persona moral o designar a una persona moral ya existente para que sea esa persona moral quien suscriba el Contrato en caso de que el Consorcio resulte asignatario del mismo, las obligaciones que asumirá cada uno de los miembros del Consorcio serán las que se hayan pactado en el Convenio Consorcial correspondiente</w:t>
      </w:r>
      <w:r w:rsidR="00FB1622" w:rsidRPr="0065554C">
        <w:t>,</w:t>
      </w:r>
      <w:r w:rsidRPr="0065554C">
        <w:t xml:space="preserve"> y deberán reflejarse en la participación accionaria que tendrá la Sociedad de Propósito Específico correspondiente; en </w:t>
      </w:r>
      <w:r w:rsidR="00FB1622" w:rsidRPr="0065554C">
        <w:t>este</w:t>
      </w:r>
      <w:r w:rsidRPr="0065554C">
        <w:t xml:space="preserve"> caso</w:t>
      </w:r>
      <w:r w:rsidR="00FB1622" w:rsidRPr="0065554C">
        <w:t>,</w:t>
      </w:r>
      <w:r w:rsidRPr="0065554C">
        <w:t xml:space="preserve"> los miembros del Consorcio deberán ser propietarios directos de al menos el 80% del capital social de la nueva persona moral que sea constituida o de la persona moral que sea designada conforme a lo anterior. Los nuevos miembros del Consorcio que se integren al mismo (esto es, que no estén identificados al momento de presentar la solicitud de precalificación de la oferta técnica de la Oferta de Venta) podrán ser propietarios de hasta el 20% restante del capital social de la nueva persona moral.</w:t>
      </w:r>
    </w:p>
    <w:p w14:paraId="42980F3F" w14:textId="77777777" w:rsidR="00160338" w:rsidRPr="0065554C" w:rsidRDefault="00160338" w:rsidP="00D1544C">
      <w:pPr>
        <w:pStyle w:val="Numeral"/>
      </w:pPr>
      <w:r w:rsidRPr="0065554C">
        <w:t xml:space="preserve">Para que el Consorcio pueda suscribir el Contrato directamente, será indispensable que cada uno de los miembros del Consorcio sea una persona moral constituida conforme a las leyes mexicanas. Por lo tanto, en caso de que alguno de los miembros de un Consorcio no sea una persona moral constituida conforme a las leyes mexicanas, será indispensable que el Consorcio se obligue a constituir o a designar una Sociedad de Propósito Específico conforme a las leyes mexicanas y en los términos del </w:t>
      </w:r>
      <w:r w:rsidRPr="0065554C">
        <w:rPr>
          <w:b/>
        </w:rPr>
        <w:t>Anexo III.2</w:t>
      </w:r>
      <w:r w:rsidR="00D1544C" w:rsidRPr="0065554C">
        <w:rPr>
          <w:b/>
        </w:rPr>
        <w:t xml:space="preserve">a </w:t>
      </w:r>
      <w:r w:rsidR="00D1544C" w:rsidRPr="0065554C">
        <w:t>o</w:t>
      </w:r>
      <w:r w:rsidR="00D1544C" w:rsidRPr="0065554C">
        <w:rPr>
          <w:b/>
        </w:rPr>
        <w:t xml:space="preserve"> Anexo III.2b</w:t>
      </w:r>
      <w:r w:rsidR="005F7A8C" w:rsidRPr="0065554C">
        <w:rPr>
          <w:b/>
        </w:rPr>
        <w:t>,</w:t>
      </w:r>
      <w:r w:rsidR="00D1544C" w:rsidRPr="0065554C">
        <w:rPr>
          <w:b/>
        </w:rPr>
        <w:t xml:space="preserve"> </w:t>
      </w:r>
      <w:r w:rsidR="00D1544C" w:rsidRPr="0065554C">
        <w:t>según el caso aplicable</w:t>
      </w:r>
      <w:r w:rsidRPr="0065554C">
        <w:t xml:space="preserve">, o bien, que el miembro del Consorcio que no sea una persona moral constituida conforme a las leyes mexicanas constituya una sociedad conforme a las leyes mexicanas, de la que sea propietaria de al menos el 80% </w:t>
      </w:r>
      <w:r w:rsidR="00FB72AC" w:rsidRPr="0065554C">
        <w:t xml:space="preserve">directo </w:t>
      </w:r>
      <w:r w:rsidRPr="0065554C">
        <w:t xml:space="preserve">del capital social. En caso de no hacerlo, el Consorcio estará impedido para suscribir directamente el Contrato. </w:t>
      </w:r>
    </w:p>
    <w:p w14:paraId="5E8DB6C2" w14:textId="77777777" w:rsidR="00160338" w:rsidRPr="0065554C" w:rsidRDefault="00160338" w:rsidP="005E311D">
      <w:pPr>
        <w:pStyle w:val="Numeral"/>
      </w:pPr>
      <w:r w:rsidRPr="0065554C">
        <w:rPr>
          <w:lang w:eastAsia="es-MX"/>
        </w:rPr>
        <w:t xml:space="preserve">De acuerdo con lo anterior, para poder suscribir el Contrato en caso de que el Consorcio </w:t>
      </w:r>
      <w:r w:rsidR="00FB1622" w:rsidRPr="0065554C">
        <w:rPr>
          <w:lang w:eastAsia="es-MX"/>
        </w:rPr>
        <w:t>resulte</w:t>
      </w:r>
      <w:r w:rsidRPr="0065554C">
        <w:rPr>
          <w:lang w:eastAsia="es-MX"/>
        </w:rPr>
        <w:t xml:space="preserve"> asignatario, los integrantes del Consorcio deberán haberse obligado en su Oferta de Venta a suscribir ese Contrato en alguna de las dos modalidades siguientes:</w:t>
      </w:r>
    </w:p>
    <w:p w14:paraId="7DA90644" w14:textId="77777777" w:rsidR="00160338" w:rsidRPr="0065554C" w:rsidRDefault="00160338" w:rsidP="005E311D">
      <w:pPr>
        <w:pStyle w:val="Inciso"/>
      </w:pPr>
      <w:r w:rsidRPr="0065554C">
        <w:rPr>
          <w:b/>
        </w:rPr>
        <w:t>Como Consorcio:</w:t>
      </w:r>
      <w:r w:rsidRPr="0065554C">
        <w:t xml:space="preserve"> En este caso, todos los miembros comparecerán a la firma del Contrato, siempre y cuando las personas morales que sean parte del Consorcio estén constituidas bajo las leyes mexicanas, y, en su conjunto, tendrán el carácter de Vendedor y estarán a lo dispuesto en su Convenio Consorcial, en el entendido de que </w:t>
      </w:r>
      <w:r w:rsidRPr="0065554C">
        <w:lastRenderedPageBreak/>
        <w:t xml:space="preserve">cada uno de ellos será solidariamente responsable del cumplimiento de las obligaciones asumidas en el Contrato por el Vendedor durante la vigencia del mismo. </w:t>
      </w:r>
    </w:p>
    <w:p w14:paraId="58625E14" w14:textId="77777777" w:rsidR="00160338" w:rsidRPr="0065554C" w:rsidRDefault="00160338" w:rsidP="005E311D">
      <w:pPr>
        <w:pStyle w:val="Inciso"/>
      </w:pPr>
      <w:r w:rsidRPr="0065554C">
        <w:rPr>
          <w:b/>
        </w:rPr>
        <w:t>A través de una Sociedad de Propósito Específico:</w:t>
      </w:r>
      <w:r w:rsidRPr="0065554C">
        <w:t xml:space="preserve"> En este caso será esa Sociedad de Propósito Específico quien suscribirá, con el carácter de Vendedor, el Contrato que le haya sido asignado al Consorcio, siempre que los miembros que conforman en Consorcio sean propietarios directos de al menos el 80% del capital social de esa sociedad. En caso de que se opte por suscribir el Contrato por medio de una Sociedad de Propósito Específico, en el documento donde se manifieste que se conformará una Sociedad de Propósito Específico se especificará cuántas sociedades y a qué Ofertas de Venta están asociadas, por lo que, en caso de ser más de una, será necesario adjuntar el proyecto de estatutos sociales por cada una de éstas.</w:t>
      </w:r>
    </w:p>
    <w:p w14:paraId="50C01D60" w14:textId="77777777" w:rsidR="00160338" w:rsidRPr="0065554C" w:rsidRDefault="00160338" w:rsidP="005E311D">
      <w:pPr>
        <w:pStyle w:val="Numeral"/>
      </w:pPr>
      <w:r w:rsidRPr="0065554C">
        <w:t>La Sociedad de Propósito Específico deberá cumplir con los requisitos que se mencionan a continuación:</w:t>
      </w:r>
    </w:p>
    <w:p w14:paraId="7533CC3B" w14:textId="77777777" w:rsidR="00160338" w:rsidRPr="0065554C" w:rsidRDefault="00160338" w:rsidP="005E311D">
      <w:pPr>
        <w:pStyle w:val="Inciso"/>
      </w:pPr>
      <w:r w:rsidRPr="0065554C">
        <w:t>Ser una sociedad de derecho mercantil.</w:t>
      </w:r>
    </w:p>
    <w:p w14:paraId="5F2EE3E6" w14:textId="77777777" w:rsidR="00160338" w:rsidRPr="0065554C" w:rsidRDefault="00160338" w:rsidP="005E311D">
      <w:pPr>
        <w:pStyle w:val="Inciso"/>
      </w:pPr>
      <w:r w:rsidRPr="0065554C">
        <w:t>Tener su domicilio social en México.</w:t>
      </w:r>
    </w:p>
    <w:p w14:paraId="24E9E11F" w14:textId="77777777" w:rsidR="00160338" w:rsidRPr="0065554C" w:rsidRDefault="00160338" w:rsidP="005E311D">
      <w:pPr>
        <w:pStyle w:val="Inciso"/>
      </w:pPr>
      <w:r w:rsidRPr="0065554C">
        <w:t xml:space="preserve">Constituirse conforme a las leyes mexicanas y a más tardar dentro de los </w:t>
      </w:r>
      <w:r w:rsidR="00F73427" w:rsidRPr="0065554C">
        <w:t>veinticinco</w:t>
      </w:r>
      <w:r w:rsidRPr="0065554C">
        <w:t xml:space="preserve"> días naturales siguientes a la fecha del Fallo, o estar constituida previamente, siempre que cumpla con los requisitos del porcentaje de la propiedad directa mencionada en el numeral anterior.</w:t>
      </w:r>
    </w:p>
    <w:p w14:paraId="3B6E31B0" w14:textId="77777777" w:rsidR="00160338" w:rsidRPr="0065554C" w:rsidRDefault="00160338" w:rsidP="005E311D">
      <w:pPr>
        <w:pStyle w:val="Inciso"/>
      </w:pPr>
      <w:r w:rsidRPr="0065554C">
        <w:t>Tener un objeto social acorde con la realización de las actividades que resulten necesarias en la consecución del objeto del Contrato o Contratos asignados.</w:t>
      </w:r>
    </w:p>
    <w:p w14:paraId="0D74F519" w14:textId="77777777" w:rsidR="00FB72AC" w:rsidRPr="0065554C" w:rsidRDefault="00FB72AC" w:rsidP="00091A1B">
      <w:pPr>
        <w:pStyle w:val="Numeral"/>
        <w:numPr>
          <w:ilvl w:val="0"/>
          <w:numId w:val="0"/>
        </w:numPr>
        <w:ind w:left="1419"/>
      </w:pPr>
      <w:r w:rsidRPr="0065554C">
        <w:t xml:space="preserve">Respecto del plazo para la constitución de la misma, este deberá acreditarse en el momento del cotejo documental, mediante el instrumento jurídico correspondiente, el cual no puede tener fecha posterior a la del establecido en el inciso </w:t>
      </w:r>
      <w:r w:rsidR="00F7719B" w:rsidRPr="0065554C">
        <w:t>(</w:t>
      </w:r>
      <w:r w:rsidRPr="0065554C">
        <w:t>c</w:t>
      </w:r>
      <w:r w:rsidR="00F7719B" w:rsidRPr="0065554C">
        <w:t>)</w:t>
      </w:r>
      <w:r w:rsidRPr="0065554C">
        <w:t xml:space="preserve"> del presente numeral.  </w:t>
      </w:r>
    </w:p>
    <w:p w14:paraId="5AEB707C" w14:textId="77777777" w:rsidR="00160338" w:rsidRPr="0065554C" w:rsidRDefault="00160338" w:rsidP="005E311D">
      <w:pPr>
        <w:pStyle w:val="Numeral"/>
      </w:pPr>
      <w:r w:rsidRPr="0065554C">
        <w:t>En el documento donde se manifieste que se conformará una Sociedad de Propósito Específico, se deberá especificar quiénes serán los socios o accionistas que conformarán dicha sociedad, así como la forma en que estará distribuido el capital social de la misma. Los términos y condiciones aplicables a cambios de control y cambios de participación del capital social de las Sociedades de Propósito Específico deberán tomar en cuenta lo que al efecto establecerá el modelo de Contrato correspondiente.</w:t>
      </w:r>
    </w:p>
    <w:p w14:paraId="15472BED" w14:textId="77777777" w:rsidR="00160338" w:rsidRPr="0065554C" w:rsidRDefault="00160338" w:rsidP="005E311D">
      <w:pPr>
        <w:pStyle w:val="Numeral"/>
      </w:pPr>
      <w:bookmarkStart w:id="140" w:name="_Toc436487854"/>
      <w:bookmarkStart w:id="141" w:name="_Toc436433758"/>
      <w:bookmarkStart w:id="142" w:name="_Toc450052172"/>
      <w:bookmarkStart w:id="143" w:name="_Toc312964142"/>
      <w:bookmarkStart w:id="144" w:name="_Toc450201414"/>
      <w:bookmarkStart w:id="145" w:name="_Toc450638577"/>
      <w:r w:rsidRPr="0065554C">
        <w:t>Cuando sea la Sociedad de Propósito Específico quien deba suscribir el o los Contratos asignados al Licitante, tal sociedad será obligado solidario con el Licitante respecto a las obligaciones que este último haya asumido frente al CENACE en relación a las Ofertas de Venta asociadas a esos Contratos, para el caso que pudieran subsistir obligaciones pendientes, cuyo cumplimiento dejará de estar garantizado por la Garantía de Seriedad. A tal efecto, el Vendedor será contractualmente responsable de dichas obligaciones a cargo del Consorcio por un tiempo perentorio conforme a lo previsto en el modelo de contrato correspondiente.</w:t>
      </w:r>
    </w:p>
    <w:p w14:paraId="666CE5A2" w14:textId="77777777" w:rsidR="00F73427" w:rsidRPr="0065554C" w:rsidRDefault="00160338" w:rsidP="005E311D">
      <w:pPr>
        <w:pStyle w:val="Numeral"/>
      </w:pPr>
      <w:r w:rsidRPr="0065554C">
        <w:lastRenderedPageBreak/>
        <w:t xml:space="preserve">Una vez recibida la Constancia de Precalificación, los compromisos adquiridos para la suscripción de los Contratos en caso de resultar asignatarios de los mismos, incluida la forma de constitución de la Sociedad de Propósito Específico, cuando aplique y según la modalidad que haya seleccionado el Licitante, no podrán modificarse sino hasta después de la firma del Contrato y en los términos que lo permita el propio Contrato. </w:t>
      </w:r>
    </w:p>
    <w:p w14:paraId="7AB25D14" w14:textId="0CE89263" w:rsidR="00160338" w:rsidRPr="0065554C" w:rsidRDefault="00160338" w:rsidP="004763F3">
      <w:pPr>
        <w:pStyle w:val="Numeral"/>
        <w:numPr>
          <w:ilvl w:val="0"/>
          <w:numId w:val="0"/>
        </w:numPr>
        <w:ind w:left="1844"/>
      </w:pPr>
      <w:r w:rsidRPr="0065554C">
        <w:t>Lo anterior no impide que nuevos miembros formen parte del Consorcio después de recibida la Constancia de Precalificación, siempre que</w:t>
      </w:r>
      <w:r w:rsidR="00F73427" w:rsidRPr="0065554C">
        <w:t xml:space="preserve"> sea informado por escrito </w:t>
      </w:r>
      <w:r w:rsidR="00675910" w:rsidRPr="006F5357">
        <w:t>libre</w:t>
      </w:r>
      <w:r w:rsidR="00675910">
        <w:t xml:space="preserve"> </w:t>
      </w:r>
      <w:r w:rsidR="00F73427" w:rsidRPr="0065554C">
        <w:t>al CENACE y</w:t>
      </w:r>
      <w:r w:rsidRPr="0065554C">
        <w:t xml:space="preserve"> dicho ingreso no violente los compromisos establecidos y dados a conocer a través del Convenio Consorcial ni el proyecto de estatutos sociales, presentados en la etapa de precalificación, respecto de la Sociedad de Propósito Específico, cuando aplique, ni las participaciones mínimas que deba mantener el Vendedor de acuerdo con lo previsto en el Contrato. Este convenio puede prever esas inclusiones hasta por los porcentajes y condiciones que le permitan cumplir con los porcentajes de experiencia, capacidad y financiamiento que resulten aplicables. </w:t>
      </w:r>
      <w:r w:rsidR="008E43F9" w:rsidRPr="0065554C">
        <w:t>E</w:t>
      </w:r>
      <w:r w:rsidRPr="0065554C">
        <w:t>l CENACE no tendrá oportunidad de evaluar los cambios que deseen realizar los Consorcios en ese periodo.</w:t>
      </w:r>
    </w:p>
    <w:p w14:paraId="27A9B151" w14:textId="77777777" w:rsidR="00160338" w:rsidRPr="0065554C" w:rsidRDefault="00160338" w:rsidP="00160338">
      <w:pPr>
        <w:pStyle w:val="Seccin"/>
      </w:pPr>
      <w:bookmarkStart w:id="146" w:name="_Toc479255716"/>
      <w:bookmarkStart w:id="147" w:name="_Toc454100235"/>
      <w:bookmarkStart w:id="148" w:name="_Toc479763758"/>
      <w:bookmarkStart w:id="149" w:name="_Toc509413004"/>
      <w:r w:rsidRPr="0065554C">
        <w:t>Procedimiento para pagos de la Subasta</w:t>
      </w:r>
      <w:bookmarkEnd w:id="140"/>
      <w:bookmarkEnd w:id="141"/>
      <w:bookmarkEnd w:id="142"/>
      <w:bookmarkEnd w:id="143"/>
      <w:bookmarkEnd w:id="144"/>
      <w:bookmarkEnd w:id="145"/>
      <w:bookmarkEnd w:id="146"/>
      <w:bookmarkEnd w:id="147"/>
      <w:bookmarkEnd w:id="148"/>
      <w:bookmarkEnd w:id="149"/>
    </w:p>
    <w:p w14:paraId="34043D61" w14:textId="77777777" w:rsidR="00CA480C" w:rsidRPr="0065554C" w:rsidRDefault="00CA480C" w:rsidP="005E311D">
      <w:pPr>
        <w:pStyle w:val="Numeral"/>
      </w:pPr>
      <w:r w:rsidRPr="0065554C">
        <w:t>L</w:t>
      </w:r>
      <w:r w:rsidR="00160338" w:rsidRPr="0065554C">
        <w:t xml:space="preserve">os Interesados en participar en la Subasta como Compradores Potenciales tienen la obligación de presentar al CENACE la manifestación </w:t>
      </w:r>
      <w:r w:rsidR="007E6FC4" w:rsidRPr="0065554C">
        <w:t>por la que acepta</w:t>
      </w:r>
      <w:r w:rsidR="00160338" w:rsidRPr="0065554C">
        <w:t xml:space="preserve"> y opta por el uso de medios de comunicación electrónica en los términos del </w:t>
      </w:r>
      <w:r w:rsidR="00160338" w:rsidRPr="0065554C">
        <w:rPr>
          <w:b/>
        </w:rPr>
        <w:t xml:space="preserve">Anexo </w:t>
      </w:r>
      <w:r w:rsidR="00C01FD3" w:rsidRPr="0065554C">
        <w:rPr>
          <w:b/>
          <w:lang w:val="es-MX"/>
        </w:rPr>
        <w:t>III.4.</w:t>
      </w:r>
    </w:p>
    <w:p w14:paraId="21B37A9F" w14:textId="77777777" w:rsidR="00160338" w:rsidRPr="0065554C" w:rsidRDefault="00CA480C" w:rsidP="00C01FD3">
      <w:pPr>
        <w:pStyle w:val="Numeral"/>
      </w:pPr>
      <w:r w:rsidRPr="0065554C">
        <w:t xml:space="preserve">Conforme </w:t>
      </w:r>
      <w:r w:rsidR="00F7719B" w:rsidRPr="0065554C">
        <w:t xml:space="preserve">a </w:t>
      </w:r>
      <w:r w:rsidRPr="0065554C">
        <w:t xml:space="preserve">las fechas establecidas en el Calendario, para participar </w:t>
      </w:r>
      <w:r w:rsidR="00160338" w:rsidRPr="0065554C">
        <w:t xml:space="preserve">como Comprador Potencial, </w:t>
      </w:r>
      <w:r w:rsidRPr="0065554C">
        <w:t>se deber</w:t>
      </w:r>
      <w:r w:rsidR="00A57031" w:rsidRPr="0065554C">
        <w:t>á realizar el pago por</w:t>
      </w:r>
      <w:r w:rsidRPr="0065554C">
        <w:t xml:space="preserve"> </w:t>
      </w:r>
      <w:r w:rsidR="00160338" w:rsidRPr="0065554C">
        <w:t>los siguientes conceptos:</w:t>
      </w:r>
    </w:p>
    <w:p w14:paraId="7D73EB11" w14:textId="77777777" w:rsidR="00160338" w:rsidRPr="0065554C" w:rsidRDefault="00160338" w:rsidP="005E311D">
      <w:pPr>
        <w:pStyle w:val="Inciso"/>
      </w:pPr>
      <w:r w:rsidRPr="0065554C">
        <w:t>Costo de adquisición de las Bases de Licitación.</w:t>
      </w:r>
    </w:p>
    <w:p w14:paraId="630DEC0D" w14:textId="77777777" w:rsidR="00160338" w:rsidRPr="0065554C" w:rsidRDefault="00160338" w:rsidP="005E311D">
      <w:pPr>
        <w:pStyle w:val="Inciso"/>
      </w:pPr>
      <w:r w:rsidRPr="0065554C">
        <w:t>Costo de la evaluación de solicitud de registro como Comprador Potencial.</w:t>
      </w:r>
    </w:p>
    <w:p w14:paraId="282598BF" w14:textId="77777777" w:rsidR="00CA480C" w:rsidRPr="0065554C" w:rsidRDefault="00160338" w:rsidP="005E311D">
      <w:pPr>
        <w:pStyle w:val="Numeral"/>
      </w:pPr>
      <w:r w:rsidRPr="0065554C">
        <w:t xml:space="preserve">Los Interesados en participar en la Subasta como Licitantes tienen la obligación de presentar al CENACE la manifestación </w:t>
      </w:r>
      <w:r w:rsidR="007E6FC4" w:rsidRPr="0065554C">
        <w:t>por la que acepta</w:t>
      </w:r>
      <w:r w:rsidRPr="0065554C">
        <w:t xml:space="preserve"> y </w:t>
      </w:r>
      <w:r w:rsidR="007E6FC4" w:rsidRPr="0065554C">
        <w:t>opta</w:t>
      </w:r>
      <w:r w:rsidRPr="0065554C">
        <w:t xml:space="preserve"> por el uso de medios de comunicación electrónica en los términos del </w:t>
      </w:r>
      <w:r w:rsidRPr="0065554C">
        <w:rPr>
          <w:b/>
        </w:rPr>
        <w:t xml:space="preserve">Anexo </w:t>
      </w:r>
      <w:r w:rsidRPr="0065554C">
        <w:rPr>
          <w:b/>
          <w:lang w:val="es-MX"/>
        </w:rPr>
        <w:t>III.4</w:t>
      </w:r>
      <w:r w:rsidRPr="0065554C">
        <w:t xml:space="preserve">, </w:t>
      </w:r>
    </w:p>
    <w:p w14:paraId="4561B20D" w14:textId="77777777" w:rsidR="00C01FD3" w:rsidRPr="0065554C" w:rsidRDefault="007E6FC4" w:rsidP="005E311D">
      <w:pPr>
        <w:pStyle w:val="Numeral"/>
      </w:pPr>
      <w:r w:rsidRPr="0065554C">
        <w:t>Conforme las fechas establecidas en el Calendario, para participar como Licitante, se deberá realizar el pago por los siguientes conceptos:</w:t>
      </w:r>
    </w:p>
    <w:p w14:paraId="4FF86E52" w14:textId="77777777" w:rsidR="00160338" w:rsidRPr="0065554C" w:rsidRDefault="00160338" w:rsidP="005E311D">
      <w:pPr>
        <w:pStyle w:val="Inciso"/>
      </w:pPr>
      <w:r w:rsidRPr="0065554C">
        <w:t>Costo de adquisición de las Bases de Licitación.</w:t>
      </w:r>
    </w:p>
    <w:p w14:paraId="08AD1237" w14:textId="77777777" w:rsidR="00160338" w:rsidRPr="0065554C" w:rsidRDefault="00160338" w:rsidP="005E311D">
      <w:pPr>
        <w:pStyle w:val="Inciso"/>
      </w:pPr>
      <w:r w:rsidRPr="0065554C">
        <w:t>Costo de la evaluación de solicitud de precalificación de Ofertas de Venta, más el costo por cada Oferta de Venta que el Interesado contemple presentar en esta Subasta, independientemente de que las mismas sean condicionadas o mutuamente excluyentes.</w:t>
      </w:r>
    </w:p>
    <w:p w14:paraId="72A073F6" w14:textId="77777777" w:rsidR="00160338" w:rsidRPr="0065554C" w:rsidRDefault="00160338" w:rsidP="005E311D">
      <w:pPr>
        <w:pStyle w:val="Numeral"/>
      </w:pPr>
      <w:r w:rsidRPr="0065554C">
        <w:t xml:space="preserve">El costo de adquisición de Bases de Licitación, </w:t>
      </w:r>
      <w:r w:rsidR="002845C9" w:rsidRPr="0065554C">
        <w:t>R</w:t>
      </w:r>
      <w:r w:rsidRPr="0065554C">
        <w:t xml:space="preserve">egistro de Compradores Potenciales, solicitud de precalificación y </w:t>
      </w:r>
      <w:r w:rsidR="00F57DC1" w:rsidRPr="0065554C">
        <w:t>Ofertas</w:t>
      </w:r>
      <w:r w:rsidRPr="0065554C">
        <w:t xml:space="preserve"> de </w:t>
      </w:r>
      <w:r w:rsidR="00F57DC1" w:rsidRPr="0065554C">
        <w:t>Venta</w:t>
      </w:r>
      <w:r w:rsidRPr="0065554C">
        <w:t xml:space="preserve">, se calculará utilizando el valor de la UDI publicado por Banco de México en el Diario Oficial de la Federación para el día hábil en que se emiten las Bases de Licitación. </w:t>
      </w:r>
    </w:p>
    <w:p w14:paraId="108D961D" w14:textId="77777777" w:rsidR="00160338" w:rsidRPr="0065554C" w:rsidRDefault="00160338" w:rsidP="005E311D">
      <w:pPr>
        <w:pStyle w:val="Numeral"/>
      </w:pPr>
      <w:r w:rsidRPr="0065554C">
        <w:lastRenderedPageBreak/>
        <w:t>Estos costos deben cubrirse previo a la presentación de la solicitud de Registro como Comprador Potencial, para el caso de los Interesados en presentar Ofertas de Compra, o previo la presentación de la solicitud de Precalificación de Ofertas de Venta, para el caso de los Licitantes.</w:t>
      </w:r>
    </w:p>
    <w:p w14:paraId="22C47FD3" w14:textId="77777777" w:rsidR="00160338" w:rsidRPr="0065554C" w:rsidRDefault="00160338" w:rsidP="005E311D">
      <w:pPr>
        <w:pStyle w:val="Numeral"/>
      </w:pPr>
      <w:r w:rsidRPr="0065554C">
        <w:t xml:space="preserve">El costo por la adquisición de las Bases de Licitación es de 5,000 (cinco mil) UDIs más IVA para cada Interesado, ya sea que pretenda participar en la Subasta como Comprador Potencial o como Licitante. Dicho costo no se establece en función del número de ofertas que el Interesado pretenda presentar en la Subasta como un mismo Licitante; es decir, el costo antes mencionado deberá cubrirse una única vez por cada </w:t>
      </w:r>
      <w:r w:rsidR="00A57031" w:rsidRPr="0065554C">
        <w:t>Interesado</w:t>
      </w:r>
      <w:r w:rsidRPr="0065554C">
        <w:t xml:space="preserve"> y no deberá realizarse por cada Oferta de Venta que presente. </w:t>
      </w:r>
    </w:p>
    <w:tbl>
      <w:tblPr>
        <w:tblStyle w:val="Tablaconcuadrcula"/>
        <w:tblW w:w="0" w:type="auto"/>
        <w:tblInd w:w="851" w:type="dxa"/>
        <w:tblLook w:val="04A0" w:firstRow="1" w:lastRow="0" w:firstColumn="1" w:lastColumn="0" w:noHBand="0" w:noVBand="1"/>
      </w:tblPr>
      <w:tblGrid>
        <w:gridCol w:w="9111"/>
      </w:tblGrid>
      <w:tr w:rsidR="0065554C" w:rsidRPr="0065554C" w14:paraId="06CBE3C1" w14:textId="77777777" w:rsidTr="002E702E">
        <w:tc>
          <w:tcPr>
            <w:tcW w:w="10112" w:type="dxa"/>
            <w:shd w:val="clear" w:color="auto" w:fill="DDD9C3" w:themeFill="background2" w:themeFillShade="E6"/>
          </w:tcPr>
          <w:p w14:paraId="67687859" w14:textId="77777777" w:rsidR="00160338" w:rsidRPr="0065554C" w:rsidRDefault="00160338" w:rsidP="002B0C6C">
            <w:pPr>
              <w:pStyle w:val="Ejemplo"/>
              <w:rPr>
                <w:szCs w:val="22"/>
              </w:rPr>
            </w:pPr>
            <w:r w:rsidRPr="0065554C">
              <w:t>Ejemplos:</w:t>
            </w:r>
          </w:p>
          <w:p w14:paraId="2DDDDF1A" w14:textId="77777777" w:rsidR="00160338" w:rsidRPr="0065554C" w:rsidRDefault="00160338" w:rsidP="00D42E95">
            <w:pPr>
              <w:pStyle w:val="EjeNumer1er"/>
              <w:numPr>
                <w:ilvl w:val="0"/>
                <w:numId w:val="10"/>
              </w:numPr>
            </w:pPr>
            <w:r w:rsidRPr="0065554C">
              <w:t xml:space="preserve">Si </w:t>
            </w:r>
            <w:r w:rsidR="00987A78" w:rsidRPr="0065554C">
              <w:t>se presentarán</w:t>
            </w:r>
            <w:r w:rsidRPr="0065554C">
              <w:t xml:space="preserve"> diez Ofertas de Venta como un Licitante </w:t>
            </w:r>
            <w:r w:rsidR="00987A78" w:rsidRPr="0065554C">
              <w:t xml:space="preserve">persona física </w:t>
            </w:r>
            <w:r w:rsidRPr="0065554C">
              <w:t>A, deberá cubrir</w:t>
            </w:r>
            <w:r w:rsidR="00987A78" w:rsidRPr="0065554C">
              <w:t>se</w:t>
            </w:r>
            <w:r w:rsidRPr="0065554C">
              <w:t xml:space="preserve"> el costo de adquisición de las Bases de Licitación sólo una vez.</w:t>
            </w:r>
          </w:p>
          <w:p w14:paraId="33C4AA15" w14:textId="77777777" w:rsidR="00160338" w:rsidRPr="0065554C" w:rsidRDefault="00160338" w:rsidP="002B0C6C">
            <w:pPr>
              <w:pStyle w:val="EjeNumer1er"/>
            </w:pPr>
            <w:r w:rsidRPr="0065554C">
              <w:t xml:space="preserve">Si </w:t>
            </w:r>
            <w:r w:rsidR="00987A78" w:rsidRPr="0065554C">
              <w:t>se presentarán</w:t>
            </w:r>
            <w:r w:rsidRPr="0065554C">
              <w:t xml:space="preserve"> dos Ofertas de Venta como un Licitante </w:t>
            </w:r>
            <w:r w:rsidR="00987A78" w:rsidRPr="0065554C">
              <w:t xml:space="preserve">persona moral </w:t>
            </w:r>
            <w:r w:rsidRPr="0065554C">
              <w:t xml:space="preserve">B, deberá cubrir el costo de adquisición de las Bases de Licitación sólo una vez, es decir, no se requiere cubrir este costo por cada Oferta de Venta que presente, ni se requiere que cada integrante de la persona moral haya cubierto este costo. </w:t>
            </w:r>
          </w:p>
          <w:p w14:paraId="1ABDC5F7" w14:textId="77777777" w:rsidR="00160338" w:rsidRPr="0065554C" w:rsidRDefault="00160338" w:rsidP="002B0C6C">
            <w:pPr>
              <w:pStyle w:val="EjeNumer1er"/>
            </w:pPr>
            <w:r w:rsidRPr="0065554C">
              <w:t xml:space="preserve">Si una persona física o moral participará en la Subasta como miembro de un Consorcio con cuatro Ofertas de Venta, bastará con que </w:t>
            </w:r>
            <w:r w:rsidR="00857641" w:rsidRPr="0065554C">
              <w:t>se</w:t>
            </w:r>
            <w:r w:rsidRPr="0065554C">
              <w:t xml:space="preserve"> haya cubierto el costo de adquisición de las Bases de Licitación sólo una vez.</w:t>
            </w:r>
          </w:p>
          <w:p w14:paraId="7D606281" w14:textId="77777777" w:rsidR="00160338" w:rsidRPr="0065554C" w:rsidRDefault="00160338" w:rsidP="002B0C6C">
            <w:pPr>
              <w:pStyle w:val="EjeNumer1er"/>
            </w:pPr>
            <w:r w:rsidRPr="0065554C">
              <w:t>Si un Licitante A en carácter de persona física o moral</w:t>
            </w:r>
            <w:r w:rsidR="00EA343B" w:rsidRPr="0065554C">
              <w:t xml:space="preserve"> presentará tres Ofertas de Venta</w:t>
            </w:r>
            <w:r w:rsidRPr="0065554C">
              <w:t xml:space="preserve"> y también presentará cinco Ofertas de Venta como miembro de un Consorcio, el costo de adquisición de las Bases de Licitación deberá cubrirse al menos dos veces: una vez para las tres Ofertas de Venta que presentará como </w:t>
            </w:r>
            <w:r w:rsidR="00EA343B" w:rsidRPr="0065554C">
              <w:t xml:space="preserve">Licitante en carácter de </w:t>
            </w:r>
            <w:r w:rsidRPr="0065554C">
              <w:t xml:space="preserve">persona física o moral, y otra para las cinco Ofertas de Venta que presentará el Consorcio. Para el Consorcio, el costo podrá cubrirlo </w:t>
            </w:r>
            <w:r w:rsidR="00EA343B" w:rsidRPr="0065554C">
              <w:t>cualquier</w:t>
            </w:r>
            <w:r w:rsidRPr="0065554C">
              <w:t xml:space="preserve"> Interesado </w:t>
            </w:r>
            <w:r w:rsidR="00EA343B" w:rsidRPr="0065554C">
              <w:t>ya sea</w:t>
            </w:r>
            <w:r w:rsidRPr="0065554C">
              <w:t xml:space="preserve"> miembro </w:t>
            </w:r>
            <w:r w:rsidR="00EA343B" w:rsidRPr="0065554C">
              <w:t xml:space="preserve">o no </w:t>
            </w:r>
            <w:r w:rsidRPr="0065554C">
              <w:t>de ese Consorcio.</w:t>
            </w:r>
          </w:p>
          <w:p w14:paraId="75AFDD88" w14:textId="77777777" w:rsidR="00160338" w:rsidRPr="0065554C" w:rsidRDefault="00160338" w:rsidP="002B0C6C">
            <w:pPr>
              <w:pStyle w:val="EjeNumer1er"/>
            </w:pPr>
            <w:r w:rsidRPr="0065554C">
              <w:t>Si una persona física o moral participará en la Subasta bajo diferentes modalidades: como persona física (Licitante A) con dos Ofertas de Venta, como persona moral (Licitante B) con cinco Ofertas de Venta, como miembro de otra persona moral (Licitante C) con tres Ofertas de Venta, y como miembro de un Consorcio (Licitante D) con una Oferta de Venta, la adquisición de las Bases de Licitación deberá cubrirse al menos cuatro veces.</w:t>
            </w:r>
          </w:p>
          <w:p w14:paraId="76D28F2F" w14:textId="77777777" w:rsidR="00160338" w:rsidRPr="0065554C" w:rsidRDefault="00160338" w:rsidP="002B0C6C">
            <w:pPr>
              <w:pStyle w:val="Texto1"/>
              <w:spacing w:before="0" w:after="0"/>
              <w:rPr>
                <w:lang w:val="es-MX"/>
              </w:rPr>
            </w:pPr>
          </w:p>
        </w:tc>
      </w:tr>
    </w:tbl>
    <w:p w14:paraId="56ED2952" w14:textId="77777777" w:rsidR="00160338" w:rsidRPr="0065554C" w:rsidRDefault="00160338" w:rsidP="005E311D">
      <w:pPr>
        <w:pStyle w:val="Numeral"/>
      </w:pPr>
      <w:r w:rsidRPr="0065554C">
        <w:t xml:space="preserve">El costo de la evaluación de la solicitud de registro como Comprador Potencial es de 50,000 (cincuenta mil) UDIs más IVA y es independiente del costo por la adquisición de las Bases de Licitación. </w:t>
      </w:r>
    </w:p>
    <w:p w14:paraId="63571032" w14:textId="77777777" w:rsidR="00160338" w:rsidRPr="0065554C" w:rsidRDefault="00160338" w:rsidP="005E311D">
      <w:pPr>
        <w:pStyle w:val="Numeral"/>
      </w:pPr>
      <w:r w:rsidRPr="0065554C">
        <w:t xml:space="preserve">El costo de la evaluación de solicitud de precalificación de Ofertas de Venta es de 50,000 (cincuenta mil) UDIs más IVA, más 5,000 (cinco mil) UDIs más IVA por cada Oferta de Venta que se contemple presentar en la Subasta, independientemente de que las mismas sean condicionadas o mutuamente excluyentes. </w:t>
      </w:r>
    </w:p>
    <w:tbl>
      <w:tblPr>
        <w:tblStyle w:val="Tablaconcuadrcula"/>
        <w:tblW w:w="0" w:type="auto"/>
        <w:tblInd w:w="851" w:type="dxa"/>
        <w:tblLook w:val="04A0" w:firstRow="1" w:lastRow="0" w:firstColumn="1" w:lastColumn="0" w:noHBand="0" w:noVBand="1"/>
      </w:tblPr>
      <w:tblGrid>
        <w:gridCol w:w="9111"/>
      </w:tblGrid>
      <w:tr w:rsidR="0065554C" w:rsidRPr="0065554C" w14:paraId="72AEB355" w14:textId="77777777" w:rsidTr="002E702E">
        <w:tc>
          <w:tcPr>
            <w:tcW w:w="9337" w:type="dxa"/>
            <w:shd w:val="clear" w:color="auto" w:fill="DDD9C3" w:themeFill="background2" w:themeFillShade="E6"/>
          </w:tcPr>
          <w:p w14:paraId="1E152D1A" w14:textId="77777777" w:rsidR="00160338" w:rsidRPr="0065554C" w:rsidRDefault="00160338" w:rsidP="002B0C6C">
            <w:pPr>
              <w:pStyle w:val="Ejemplo"/>
              <w:rPr>
                <w:szCs w:val="22"/>
              </w:rPr>
            </w:pPr>
            <w:r w:rsidRPr="0065554C">
              <w:lastRenderedPageBreak/>
              <w:t>Ejemplos:</w:t>
            </w:r>
          </w:p>
          <w:p w14:paraId="2D6FF73E" w14:textId="77777777" w:rsidR="00160338" w:rsidRPr="0065554C" w:rsidRDefault="00160338" w:rsidP="00D42E95">
            <w:pPr>
              <w:pStyle w:val="EjeNumer1er"/>
              <w:numPr>
                <w:ilvl w:val="0"/>
                <w:numId w:val="16"/>
              </w:numPr>
            </w:pPr>
            <w:r w:rsidRPr="0065554C">
              <w:t xml:space="preserve">Si </w:t>
            </w:r>
            <w:r w:rsidR="000E2CBA" w:rsidRPr="0065554C">
              <w:t>se</w:t>
            </w:r>
            <w:r w:rsidRPr="0065554C">
              <w:t xml:space="preserve"> participar</w:t>
            </w:r>
            <w:r w:rsidR="000E2CBA" w:rsidRPr="0065554C">
              <w:t>á</w:t>
            </w:r>
            <w:r w:rsidRPr="0065554C">
              <w:t xml:space="preserve"> en la Subasta como Licitante para presentar una sola Oferta de Venta, el costo de la evaluación de solicitud de precalificación de Ofertas de Venta para él será de 55,000 (cincuenta y cinco mil) UDIs más IVA.</w:t>
            </w:r>
          </w:p>
          <w:p w14:paraId="3B6CD33A" w14:textId="77777777" w:rsidR="00160338" w:rsidRPr="0065554C" w:rsidRDefault="00160338" w:rsidP="00D42E95">
            <w:pPr>
              <w:pStyle w:val="EjeNumer1er"/>
              <w:numPr>
                <w:ilvl w:val="0"/>
                <w:numId w:val="16"/>
              </w:numPr>
            </w:pPr>
            <w:r w:rsidRPr="0065554C">
              <w:t xml:space="preserve">Si </w:t>
            </w:r>
            <w:r w:rsidR="006B55CA" w:rsidRPr="0065554C">
              <w:t>se</w:t>
            </w:r>
            <w:r w:rsidRPr="0065554C">
              <w:t xml:space="preserve"> participar</w:t>
            </w:r>
            <w:r w:rsidR="006B55CA" w:rsidRPr="0065554C">
              <w:t>á</w:t>
            </w:r>
            <w:r w:rsidRPr="0065554C">
              <w:t xml:space="preserve"> en la Subasta como Licitante para presentar cuatro Ofertas de Venta, el costo de la evaluación de solicitud de precalificación de Ofertas de Venta para él será de 70,000 (setenta mil) UDIs más IVA.</w:t>
            </w:r>
          </w:p>
          <w:p w14:paraId="58F01968" w14:textId="77777777" w:rsidR="00160338" w:rsidRPr="0065554C" w:rsidRDefault="00160338" w:rsidP="00D42E95">
            <w:pPr>
              <w:pStyle w:val="EjeNumer1er"/>
              <w:numPr>
                <w:ilvl w:val="0"/>
                <w:numId w:val="16"/>
              </w:numPr>
            </w:pPr>
            <w:r w:rsidRPr="0065554C">
              <w:t xml:space="preserve">Si </w:t>
            </w:r>
            <w:r w:rsidR="001E171A" w:rsidRPr="0065554C">
              <w:t>se</w:t>
            </w:r>
            <w:r w:rsidRPr="0065554C">
              <w:t xml:space="preserve"> participar</w:t>
            </w:r>
            <w:r w:rsidR="001E171A" w:rsidRPr="0065554C">
              <w:t>á</w:t>
            </w:r>
            <w:r w:rsidRPr="0065554C">
              <w:t xml:space="preserve"> en la Subasta como Licitante para presentar cuatro Ofertas de Venta (dos de ellas mutuamente excluyentes), el costo de la evaluación de solicitud de precalificación de Ofertas de Venta para él será de 70,000 (setenta mil) UDIs más IVA.</w:t>
            </w:r>
          </w:p>
          <w:p w14:paraId="0E0B939C" w14:textId="77777777" w:rsidR="00160338" w:rsidRPr="0065554C" w:rsidRDefault="00160338" w:rsidP="00D42E95">
            <w:pPr>
              <w:pStyle w:val="EjeNumer1er"/>
              <w:numPr>
                <w:ilvl w:val="0"/>
                <w:numId w:val="16"/>
              </w:numPr>
            </w:pPr>
            <w:r w:rsidRPr="0065554C">
              <w:t xml:space="preserve">Si </w:t>
            </w:r>
            <w:r w:rsidR="00C87412" w:rsidRPr="0065554C">
              <w:t>se</w:t>
            </w:r>
            <w:r w:rsidRPr="0065554C">
              <w:t xml:space="preserve"> participar</w:t>
            </w:r>
            <w:r w:rsidR="00C87412" w:rsidRPr="0065554C">
              <w:t>á</w:t>
            </w:r>
            <w:r w:rsidRPr="0065554C">
              <w:t xml:space="preserve"> en la Subasta como Licitante A para presentar cuatro Ofertas de Venta (una de ellas condicionada a la selección de otra), el costo de la evaluación de solicitud de precalificación de Ofertas de Venta para él será de 70,000 (setenta mil) UDIs más IVA.</w:t>
            </w:r>
          </w:p>
          <w:p w14:paraId="6D2A7F91" w14:textId="77777777" w:rsidR="00160338" w:rsidRPr="0065554C" w:rsidRDefault="00160338" w:rsidP="00D42E95">
            <w:pPr>
              <w:pStyle w:val="EjeNumer1er"/>
              <w:numPr>
                <w:ilvl w:val="0"/>
                <w:numId w:val="16"/>
              </w:numPr>
            </w:pPr>
            <w:r w:rsidRPr="0065554C">
              <w:t xml:space="preserve">Si </w:t>
            </w:r>
            <w:r w:rsidR="001732D3" w:rsidRPr="0065554C">
              <w:t>se</w:t>
            </w:r>
            <w:r w:rsidRPr="0065554C">
              <w:t xml:space="preserve"> participar</w:t>
            </w:r>
            <w:r w:rsidR="001732D3" w:rsidRPr="0065554C">
              <w:t>á</w:t>
            </w:r>
            <w:r w:rsidRPr="0065554C">
              <w:t xml:space="preserve"> en la Subasta como Licitante A para presentar cuatro Ofertas de Venta y también desea participar en la Subasta como miembro de un Consorcio C para presentar otras cuatro Ofertas de Venta, el costo de la evaluación de las ocho solicitudes de precalificación de Ofertas de Venta será de 140,000 (ciento cuarenta mil) UDIs más IVA, es decir, 70,000 (setenta mil) UDIs más IVA para el Licitante A y 70,000 (setenta mil) UDIs más IVA para el Consorcio C.</w:t>
            </w:r>
          </w:p>
          <w:p w14:paraId="126CCAD9" w14:textId="77777777" w:rsidR="00160338" w:rsidRPr="0065554C" w:rsidRDefault="00160338" w:rsidP="002B0C6C">
            <w:pPr>
              <w:pStyle w:val="EjeNumer1er"/>
              <w:numPr>
                <w:ilvl w:val="0"/>
                <w:numId w:val="0"/>
              </w:numPr>
              <w:spacing w:before="0" w:after="0"/>
              <w:ind w:left="357" w:right="335"/>
            </w:pPr>
          </w:p>
        </w:tc>
      </w:tr>
    </w:tbl>
    <w:p w14:paraId="3322AF2D" w14:textId="77777777" w:rsidR="00160338" w:rsidRPr="0065554C" w:rsidRDefault="00160338" w:rsidP="005E311D">
      <w:pPr>
        <w:pStyle w:val="Numeral"/>
      </w:pPr>
      <w:r w:rsidRPr="0065554C">
        <w:t>Los costos referidos deberán cubrirse conforme al procedimiento siguiente:</w:t>
      </w:r>
    </w:p>
    <w:p w14:paraId="54A72F62" w14:textId="77777777" w:rsidR="00160338" w:rsidRPr="0065554C" w:rsidRDefault="00160338" w:rsidP="005E311D">
      <w:pPr>
        <w:pStyle w:val="Inciso"/>
      </w:pPr>
      <w:r w:rsidRPr="0065554C">
        <w:t xml:space="preserve">Acceder al portal del CENACE </w:t>
      </w:r>
      <w:hyperlink r:id="rId17" w:history="1">
        <w:r w:rsidRPr="0065554C">
          <w:t>www.cenace.gob.mx</w:t>
        </w:r>
      </w:hyperlink>
      <w:r w:rsidRPr="0065554C">
        <w:t xml:space="preserve"> y dirigirse al SAS, sistema en el que se realizarán los pagos. El instructivo de uso del SAS estará disponible en el mismo portal del sistema.</w:t>
      </w:r>
    </w:p>
    <w:p w14:paraId="2CD19ADE" w14:textId="77777777" w:rsidR="00160338" w:rsidRPr="0065554C" w:rsidRDefault="00160338" w:rsidP="005E311D">
      <w:pPr>
        <w:pStyle w:val="Inciso"/>
      </w:pPr>
      <w:r w:rsidRPr="0065554C">
        <w:t xml:space="preserve">Se generará solo un usuario y contraseña por cada </w:t>
      </w:r>
      <w:r w:rsidR="002845C9" w:rsidRPr="0065554C">
        <w:t>folio único</w:t>
      </w:r>
      <w:r w:rsidRPr="0065554C">
        <w:t xml:space="preserve"> en el SAS, previa captura de la información solicitada, así como la información de facturación correspondiente.</w:t>
      </w:r>
    </w:p>
    <w:p w14:paraId="002F0F71" w14:textId="77777777" w:rsidR="00160338" w:rsidRPr="0065554C" w:rsidRDefault="00160338" w:rsidP="005E311D">
      <w:pPr>
        <w:pStyle w:val="Inciso"/>
      </w:pPr>
      <w:r w:rsidRPr="0065554C">
        <w:t xml:space="preserve">Una vez registrado, el </w:t>
      </w:r>
      <w:r w:rsidR="00A57031" w:rsidRPr="0065554C">
        <w:t>Interesado</w:t>
      </w:r>
      <w:r w:rsidRPr="0065554C">
        <w:t xml:space="preserve"> podrá generar la referencia de pago por el concepto de pago que requiera cubrir. De esta forma, podrá realizar el pago correspondiente mediante transferencia electrónica, cheques certificados o cheques de caja</w:t>
      </w:r>
      <w:r w:rsidR="00FB1622" w:rsidRPr="0065554C">
        <w:t>,</w:t>
      </w:r>
      <w:r w:rsidRPr="0065554C">
        <w:t xml:space="preserve"> con base en la información bancaria que le proporcione el SAS. La referencia de pago será válida hasta la fecha límite establecida en el Calendario de la Subasta para cada concepto, por lo que el pago deberá realizarse durante el periodo de vigencia de la referencia.</w:t>
      </w:r>
    </w:p>
    <w:p w14:paraId="28701EE5" w14:textId="77777777" w:rsidR="00160338" w:rsidRPr="0065554C" w:rsidRDefault="00160338" w:rsidP="005E311D">
      <w:pPr>
        <w:pStyle w:val="Inciso"/>
      </w:pPr>
      <w:r w:rsidRPr="0065554C">
        <w:t xml:space="preserve">Ingresar al SAS, </w:t>
      </w:r>
      <w:r w:rsidR="00726E6E" w:rsidRPr="0065554C">
        <w:t xml:space="preserve">de </w:t>
      </w:r>
      <w:r w:rsidRPr="0065554C">
        <w:t xml:space="preserve">veinticuatro </w:t>
      </w:r>
      <w:r w:rsidR="00433781" w:rsidRPr="0065554C">
        <w:t xml:space="preserve">a </w:t>
      </w:r>
      <w:r w:rsidR="00091A1B" w:rsidRPr="0065554C">
        <w:t>noventa y seis</w:t>
      </w:r>
      <w:r w:rsidRPr="0065554C">
        <w:t xml:space="preserve"> </w:t>
      </w:r>
      <w:r w:rsidR="00433781" w:rsidRPr="0065554C">
        <w:t xml:space="preserve">horas </w:t>
      </w:r>
      <w:r w:rsidRPr="0065554C">
        <w:t xml:space="preserve">posteriores al pago, con su usuario y contraseña, donde </w:t>
      </w:r>
      <w:r w:rsidR="00FB72AC" w:rsidRPr="0065554C">
        <w:t>se</w:t>
      </w:r>
      <w:r w:rsidRPr="0065554C">
        <w:t xml:space="preserve"> podrá descargar el comprobante de pago emitido por el CENACE</w:t>
      </w:r>
      <w:r w:rsidR="00433781" w:rsidRPr="0065554C">
        <w:t xml:space="preserve"> </w:t>
      </w:r>
      <w:r w:rsidR="005F7A8C" w:rsidRPr="0065554C">
        <w:t>una</w:t>
      </w:r>
      <w:r w:rsidR="00433781" w:rsidRPr="0065554C">
        <w:t xml:space="preserve"> vez que </w:t>
      </w:r>
      <w:r w:rsidR="005F7A8C" w:rsidRPr="0065554C">
        <w:t xml:space="preserve">éste haya validado </w:t>
      </w:r>
      <w:r w:rsidR="00433781" w:rsidRPr="0065554C">
        <w:t>el pago</w:t>
      </w:r>
      <w:r w:rsidRPr="0065554C">
        <w:t>.</w:t>
      </w:r>
    </w:p>
    <w:p w14:paraId="705DFD8C" w14:textId="77777777" w:rsidR="00160338" w:rsidRPr="0065554C" w:rsidRDefault="00160338" w:rsidP="005E311D">
      <w:pPr>
        <w:pStyle w:val="Inciso"/>
      </w:pPr>
      <w:r w:rsidRPr="0065554C">
        <w:t>El CENACE emitirá un acuse de recepción por cada pago ingresado (</w:t>
      </w:r>
      <w:r w:rsidRPr="0065554C">
        <w:rPr>
          <w:i/>
        </w:rPr>
        <w:t>i.e.</w:t>
      </w:r>
      <w:r w:rsidRPr="0065554C">
        <w:t>, por el pago del costo de adquisición de las Bases de Licitación, por el pago de costo de evaluación de solicitud de registro como Comprador Potencial, por el pago de evaluación de la solicitud de Precalificación de Oferta de Venta incluyendo el número total de Ofertas de Venta individuales, etc.).</w:t>
      </w:r>
    </w:p>
    <w:p w14:paraId="60D4E196" w14:textId="77777777" w:rsidR="00160338" w:rsidRPr="0065554C" w:rsidRDefault="00160338" w:rsidP="005E311D">
      <w:pPr>
        <w:pStyle w:val="Inciso"/>
      </w:pPr>
      <w:r w:rsidRPr="0065554C">
        <w:lastRenderedPageBreak/>
        <w:t>Una vez confirmada la recepción</w:t>
      </w:r>
      <w:r w:rsidR="00270DEA" w:rsidRPr="0065554C">
        <w:t xml:space="preserve"> y validación</w:t>
      </w:r>
      <w:r w:rsidRPr="0065554C">
        <w:t xml:space="preserve"> del pago, se facturará con los datos fiscales registrados, en un plazo máximo de </w:t>
      </w:r>
      <w:r w:rsidR="00874AE7" w:rsidRPr="0065554C">
        <w:t>noventa y seis</w:t>
      </w:r>
      <w:r w:rsidRPr="0065554C">
        <w:t xml:space="preserve"> horas</w:t>
      </w:r>
      <w:r w:rsidR="00CA6937" w:rsidRPr="0065554C">
        <w:t>.</w:t>
      </w:r>
      <w:r w:rsidR="00CA6937" w:rsidRPr="0065554C" w:rsidDel="00CA6937">
        <w:t xml:space="preserve"> </w:t>
      </w:r>
    </w:p>
    <w:p w14:paraId="61DF2FE6" w14:textId="77777777" w:rsidR="00160338" w:rsidRPr="0065554C" w:rsidRDefault="00160338" w:rsidP="00CA6937">
      <w:pPr>
        <w:pStyle w:val="Inciso"/>
      </w:pPr>
      <w:r w:rsidRPr="0065554C">
        <w:t>Los Interesados podrán realizar transferencias de fondos desde el extranjero, en el entendido que dichas transferencias deberán realizarse dentro de los horarios determinados por el sistema financiero mexicano.</w:t>
      </w:r>
    </w:p>
    <w:p w14:paraId="4A3D86C9" w14:textId="77777777" w:rsidR="00562051" w:rsidRPr="0065554C" w:rsidRDefault="00562051" w:rsidP="00091A1B">
      <w:pPr>
        <w:pStyle w:val="Inciso"/>
      </w:pPr>
      <w:r w:rsidRPr="0065554C">
        <w:t xml:space="preserve">Todos los costos deberán cubrirse </w:t>
      </w:r>
      <w:r w:rsidR="00091A1B" w:rsidRPr="0065554C">
        <w:t>hasta</w:t>
      </w:r>
      <w:r w:rsidRPr="0065554C">
        <w:t xml:space="preserve"> los plazos señalados en el calendario de la subasta.</w:t>
      </w:r>
    </w:p>
    <w:p w14:paraId="3568AD01" w14:textId="77777777" w:rsidR="00160338" w:rsidRPr="0065554C" w:rsidRDefault="00160338" w:rsidP="005E311D">
      <w:pPr>
        <w:pStyle w:val="Numeral"/>
      </w:pPr>
      <w:r w:rsidRPr="0065554C">
        <w:t xml:space="preserve">Una vez que el CENACE valide el pago, </w:t>
      </w:r>
      <w:r w:rsidR="00147216" w:rsidRPr="0065554C">
        <w:t xml:space="preserve">y que confirme que el mismo no ha sido utilizado previamente para acreditar algún pago por otro Interesado, </w:t>
      </w:r>
      <w:r w:rsidRPr="0065554C">
        <w:t>asignará un folio único, que se integrará de la siguiente manera:</w:t>
      </w:r>
    </w:p>
    <w:p w14:paraId="0BC1CCFE" w14:textId="77777777" w:rsidR="00160338" w:rsidRPr="0065554C" w:rsidRDefault="00160338" w:rsidP="005E311D">
      <w:pPr>
        <w:pStyle w:val="Inciso"/>
      </w:pPr>
      <w:r w:rsidRPr="0065554C">
        <w:t>el acrónimo de Subastas de Largo Plazo: “SLP”;</w:t>
      </w:r>
    </w:p>
    <w:p w14:paraId="24E1E6A5" w14:textId="77777777" w:rsidR="00160338" w:rsidRPr="0065554C" w:rsidRDefault="00160338" w:rsidP="005E311D">
      <w:pPr>
        <w:pStyle w:val="Inciso"/>
      </w:pPr>
      <w:r w:rsidRPr="0065554C">
        <w:t>el año en que se convocó a la Subasta: “201</w:t>
      </w:r>
      <w:r w:rsidR="00874AE7" w:rsidRPr="0065554C">
        <w:t>8</w:t>
      </w:r>
      <w:r w:rsidRPr="0065554C">
        <w:t xml:space="preserve">”; </w:t>
      </w:r>
    </w:p>
    <w:p w14:paraId="095A0E87" w14:textId="77777777" w:rsidR="00160338" w:rsidRPr="0065554C" w:rsidRDefault="00160338" w:rsidP="005E311D">
      <w:pPr>
        <w:pStyle w:val="Inciso"/>
      </w:pPr>
      <w:r w:rsidRPr="0065554C">
        <w:t>el número de la Subasta, que se asignará consecutivamente a las diferentes Subastas que, de ser el caso, se realicen durante el mismo año: “01”; y</w:t>
      </w:r>
    </w:p>
    <w:p w14:paraId="5EEC0890" w14:textId="77777777" w:rsidR="00160338" w:rsidRPr="0065554C" w:rsidRDefault="00160338" w:rsidP="005E311D">
      <w:pPr>
        <w:pStyle w:val="Inciso"/>
      </w:pPr>
      <w:r w:rsidRPr="0065554C">
        <w:t xml:space="preserve">el número identificador del usuario que se está registrando, que estará conformado por cuatro dígitos: “0000”. </w:t>
      </w:r>
    </w:p>
    <w:tbl>
      <w:tblPr>
        <w:tblStyle w:val="Tablaconcuadrcula"/>
        <w:tblW w:w="0" w:type="auto"/>
        <w:tblInd w:w="959" w:type="dxa"/>
        <w:tblLook w:val="04A0" w:firstRow="1" w:lastRow="0" w:firstColumn="1" w:lastColumn="0" w:noHBand="0" w:noVBand="1"/>
      </w:tblPr>
      <w:tblGrid>
        <w:gridCol w:w="9003"/>
      </w:tblGrid>
      <w:tr w:rsidR="0065554C" w:rsidRPr="0065554C" w14:paraId="3C092526" w14:textId="77777777" w:rsidTr="00CA6937">
        <w:tc>
          <w:tcPr>
            <w:tcW w:w="9229" w:type="dxa"/>
            <w:shd w:val="clear" w:color="auto" w:fill="DDD9C3" w:themeFill="background2" w:themeFillShade="E6"/>
          </w:tcPr>
          <w:p w14:paraId="20116D02" w14:textId="77777777" w:rsidR="00160338" w:rsidRPr="0065554C" w:rsidRDefault="00160338" w:rsidP="002B0C6C">
            <w:pPr>
              <w:pStyle w:val="Ejemplo"/>
            </w:pPr>
            <w:r w:rsidRPr="0065554C">
              <w:t>Ejemplo:</w:t>
            </w:r>
          </w:p>
          <w:p w14:paraId="578FA065" w14:textId="77777777" w:rsidR="00160338" w:rsidRPr="0065554C" w:rsidRDefault="00160338" w:rsidP="008E43F9">
            <w:pPr>
              <w:pStyle w:val="EjeNumer1er"/>
              <w:numPr>
                <w:ilvl w:val="0"/>
                <w:numId w:val="0"/>
              </w:numPr>
              <w:ind w:left="360"/>
            </w:pPr>
            <w:r w:rsidRPr="0065554C">
              <w:t xml:space="preserve">El folio único </w:t>
            </w:r>
            <w:r w:rsidRPr="0065554C">
              <w:rPr>
                <w:b/>
              </w:rPr>
              <w:t>SLP201</w:t>
            </w:r>
            <w:r w:rsidR="00874AE7" w:rsidRPr="0065554C">
              <w:rPr>
                <w:b/>
              </w:rPr>
              <w:t>8</w:t>
            </w:r>
            <w:r w:rsidRPr="0065554C">
              <w:rPr>
                <w:b/>
              </w:rPr>
              <w:t>010003</w:t>
            </w:r>
            <w:r w:rsidRPr="0065554C">
              <w:t xml:space="preserve"> se refiere a la Subasta de Largo Plazo convocada en el 201</w:t>
            </w:r>
            <w:r w:rsidR="00315354" w:rsidRPr="0065554C">
              <w:t>8</w:t>
            </w:r>
            <w:r w:rsidRPr="0065554C">
              <w:t xml:space="preserve"> y al usuario registrado con identificador 0003 para esa subasta.</w:t>
            </w:r>
          </w:p>
        </w:tc>
      </w:tr>
    </w:tbl>
    <w:p w14:paraId="45E2F035" w14:textId="77777777" w:rsidR="00160338" w:rsidRPr="0065554C" w:rsidRDefault="00160338" w:rsidP="005E311D">
      <w:pPr>
        <w:pStyle w:val="Numeral"/>
      </w:pPr>
      <w:r w:rsidRPr="0065554C">
        <w:t>Este folio único se utilizará en todas las etapas de la Subasta, incluyendo sin limitar, para crear el usuario en el Sitio.</w:t>
      </w:r>
    </w:p>
    <w:p w14:paraId="2E25ED15" w14:textId="77777777" w:rsidR="00160338" w:rsidRPr="0065554C" w:rsidRDefault="00160338" w:rsidP="005E311D">
      <w:pPr>
        <w:pStyle w:val="Numeral"/>
      </w:pPr>
      <w:r w:rsidRPr="0065554C">
        <w:t xml:space="preserve">Dicho folio sólo será válido </w:t>
      </w:r>
      <w:r w:rsidR="00FB72AC" w:rsidRPr="0065554C">
        <w:t>únicamente</w:t>
      </w:r>
      <w:r w:rsidRPr="0065554C">
        <w:t xml:space="preserve"> durante la Subasta en curso.</w:t>
      </w:r>
    </w:p>
    <w:p w14:paraId="00051194" w14:textId="77777777" w:rsidR="00160338" w:rsidRPr="0065554C" w:rsidRDefault="00160338" w:rsidP="005E311D">
      <w:pPr>
        <w:pStyle w:val="Numeral"/>
      </w:pPr>
      <w:r w:rsidRPr="0065554C">
        <w:t>En ningún caso el CENACE estará obligado a reembolsar los pagos que hayan efectuado los Interesados, Compradores Potenciales o Licitantes, según corresponda, ni será responsable por los gastos en que cualquiera de ellos hubiera incurrido para participar en esta Subasta.</w:t>
      </w:r>
    </w:p>
    <w:p w14:paraId="5D801129" w14:textId="77777777" w:rsidR="00160338" w:rsidRPr="0065554C" w:rsidRDefault="00160338" w:rsidP="00160338">
      <w:pPr>
        <w:pStyle w:val="Seccin"/>
      </w:pPr>
      <w:bookmarkStart w:id="150" w:name="_Toc436487855"/>
      <w:bookmarkStart w:id="151" w:name="_Toc436433759"/>
      <w:bookmarkStart w:id="152" w:name="_Toc450052173"/>
      <w:bookmarkStart w:id="153" w:name="_Toc312964143"/>
      <w:bookmarkStart w:id="154" w:name="_Toc450201415"/>
      <w:bookmarkStart w:id="155" w:name="_Toc450638578"/>
      <w:bookmarkStart w:id="156" w:name="_Toc479255717"/>
      <w:bookmarkStart w:id="157" w:name="_Toc454100236"/>
      <w:bookmarkStart w:id="158" w:name="_Toc479763759"/>
      <w:bookmarkStart w:id="159" w:name="_Toc509413005"/>
      <w:r w:rsidRPr="0065554C">
        <w:t>Juntas de aclaraciones</w:t>
      </w:r>
      <w:bookmarkEnd w:id="150"/>
      <w:bookmarkEnd w:id="151"/>
      <w:bookmarkEnd w:id="152"/>
      <w:bookmarkEnd w:id="153"/>
      <w:bookmarkEnd w:id="154"/>
      <w:bookmarkEnd w:id="155"/>
      <w:bookmarkEnd w:id="156"/>
      <w:bookmarkEnd w:id="157"/>
      <w:bookmarkEnd w:id="158"/>
      <w:bookmarkEnd w:id="159"/>
    </w:p>
    <w:p w14:paraId="151F4D28" w14:textId="77777777" w:rsidR="00160338" w:rsidRPr="0065554C" w:rsidRDefault="00160338" w:rsidP="005E311D">
      <w:pPr>
        <w:pStyle w:val="Numeral"/>
      </w:pPr>
      <w:r w:rsidRPr="0065554C">
        <w:t xml:space="preserve">Para poder participar en las juntas de aclaraciones, los Interesados, los Compradores Potenciales o los Licitantes, según sea el caso, deberán haber cubierto el costo por la adquisición de las Bases de Licitación. </w:t>
      </w:r>
    </w:p>
    <w:p w14:paraId="6CDFB126" w14:textId="77777777" w:rsidR="00160338" w:rsidRPr="0065554C" w:rsidRDefault="00160338" w:rsidP="005E311D">
      <w:pPr>
        <w:pStyle w:val="Numeral"/>
      </w:pPr>
      <w:r w:rsidRPr="0065554C">
        <w:t xml:space="preserve">En la fecha indicada en el Calendario de la Subasta el CENACE llevará a cabo una primera junta de aclaraciones electrónica, a través del Sitio, de acuerdo con lo señalado en el numeral 5.4 del Manual de Subastas de Largo Plazo. </w:t>
      </w:r>
    </w:p>
    <w:p w14:paraId="5C9BF2CB" w14:textId="77777777" w:rsidR="00160338" w:rsidRPr="0065554C" w:rsidRDefault="00160338" w:rsidP="005E311D">
      <w:pPr>
        <w:pStyle w:val="Numeral"/>
      </w:pPr>
      <w:r w:rsidRPr="0065554C">
        <w:lastRenderedPageBreak/>
        <w:t>Conforme avance el desarrollo de la Subasta, el CENACE podrá realizar juntas de aclaraciones adicionales, las cuales serán electrónicas, previa notificación en el Sitio que se realizará con al menos dos días hábiles de anticipación. Sin embargo, entre la última junta de aclaraciones y la presentación de las ofertas económicas de las Ofertas de Venta mediarán al menos cinco días hábiles</w:t>
      </w:r>
      <w:r w:rsidR="0009799A" w:rsidRPr="0065554C">
        <w:t xml:space="preserve">, conforme a lo previsto </w:t>
      </w:r>
      <w:r w:rsidR="00DD0273" w:rsidRPr="0065554C">
        <w:t>en el</w:t>
      </w:r>
      <w:r w:rsidR="0009799A" w:rsidRPr="0065554C">
        <w:t xml:space="preserve"> Manual de Subastas de Largo Plazo</w:t>
      </w:r>
      <w:r w:rsidRPr="0065554C">
        <w:t xml:space="preserve">. </w:t>
      </w:r>
    </w:p>
    <w:p w14:paraId="65BE367A" w14:textId="77777777" w:rsidR="00160338" w:rsidRPr="0065554C" w:rsidRDefault="00160338" w:rsidP="005E311D">
      <w:pPr>
        <w:pStyle w:val="Numeral"/>
      </w:pPr>
      <w:r w:rsidRPr="0065554C">
        <w:t xml:space="preserve">En caso de que se requiera realizar una junta de aclaraciones en una fecha que no cumpla el criterio señalado en el numeral anterior, se diferirá la fecha de presentación de ofertas económicas el plazo necesario. Lo anterior de conformidad con el numeral 5.4.9 del Manual de Subastas de Largo Plazo. </w:t>
      </w:r>
    </w:p>
    <w:p w14:paraId="4D3CD344" w14:textId="77777777" w:rsidR="00160338" w:rsidRPr="0065554C" w:rsidRDefault="00160338" w:rsidP="005E311D">
      <w:pPr>
        <w:pStyle w:val="Numeral"/>
      </w:pPr>
      <w:r w:rsidRPr="0065554C">
        <w:t>Las juntas de aclaraciones tendrán por objeto recibir y atender las preguntas o solicitudes de aclaración de cualquier Interesado, Comprador Potencial o Licitante, según sea el caso, relacionadas exclusivamente con el contenido de las Bases de Licitación.</w:t>
      </w:r>
    </w:p>
    <w:p w14:paraId="3181B597" w14:textId="77777777" w:rsidR="00160338" w:rsidRPr="0065554C" w:rsidRDefault="00160338" w:rsidP="005E311D">
      <w:pPr>
        <w:pStyle w:val="Numeral"/>
      </w:pPr>
      <w:r w:rsidRPr="0065554C">
        <w:t xml:space="preserve">Las preguntas o solicitudes de aclaración deberán ser presentadas al CENACE exclusivamente a través del Sitio y durante el periodo que para tal efecto establezca el Calendario de la Subasta. Tanto las preguntas o solicitudes de aclaración como las respuestas o aclaraciones que emita el CENACE serán dadas a conocer </w:t>
      </w:r>
      <w:r w:rsidR="00FB1622" w:rsidRPr="0065554C">
        <w:t xml:space="preserve">únicamente </w:t>
      </w:r>
      <w:r w:rsidRPr="0065554C">
        <w:t>a través del Sitio a todos los Interesados, a los Compradores Potenciales y a todos los Licitantes, según corresponda.</w:t>
      </w:r>
    </w:p>
    <w:p w14:paraId="58202C2F" w14:textId="77777777" w:rsidR="00160338" w:rsidRPr="0065554C" w:rsidRDefault="00160338" w:rsidP="005E311D">
      <w:pPr>
        <w:pStyle w:val="Numeral"/>
      </w:pPr>
      <w:r w:rsidRPr="0065554C">
        <w:t>No será obligatorio participar en las juntas de aclaraciones a fin de poder presentar ofertas en la Subasta y el CENACE no estará obligado a responder las preguntas o solicitudes de aclaración formuladas fuera del periodo previsto para hacerlo o a través de medios distintos a los indicados en el numeral anterior.</w:t>
      </w:r>
    </w:p>
    <w:p w14:paraId="654BE81B" w14:textId="77777777" w:rsidR="00160338" w:rsidRPr="0065554C" w:rsidRDefault="00160338" w:rsidP="005E311D">
      <w:pPr>
        <w:pStyle w:val="Numeral"/>
      </w:pPr>
      <w:r w:rsidRPr="0065554C">
        <w:t>Todas las preguntas y respuestas de las juntas de aclaraciones, así como solicitudes de aclaraciones, se harán públicas únicamente a través del Sitio, por lo que los Interesados, Compradores Potenciales y Licitantes deberán cuidar de no incluir en las preguntas o solicitudes de aclaración que formulen información que consideren sensible, estratégica, confidencial o reservada.</w:t>
      </w:r>
    </w:p>
    <w:p w14:paraId="2C143644" w14:textId="77777777" w:rsidR="00160338" w:rsidRPr="0065554C" w:rsidRDefault="00160338" w:rsidP="005E311D">
      <w:pPr>
        <w:pStyle w:val="Numeral"/>
      </w:pPr>
      <w:r w:rsidRPr="0065554C">
        <w:t xml:space="preserve">Las juntas de aclaraciones serán presididas por el servidor público que el CENACE designe para tal efecto, quien podrá contar con el apoyo técnico necesario en las diversas áreas relativas a las capacidades referidas en estas Bases de Licitación. </w:t>
      </w:r>
    </w:p>
    <w:p w14:paraId="1E729C1B" w14:textId="77777777" w:rsidR="00160338" w:rsidRPr="0065554C" w:rsidRDefault="00160338" w:rsidP="005E311D">
      <w:pPr>
        <w:pStyle w:val="Numeral"/>
      </w:pPr>
      <w:r w:rsidRPr="0065554C">
        <w:t>El CENACE podrá optar por dar contestación a las preguntas y/o solicitudes de aclaración de manera individual, o de manera conjunta tratándose de aquéllas que hubiera agrupado por corresponder a un mismo punto o apartado de las Bases de Licitación.</w:t>
      </w:r>
    </w:p>
    <w:p w14:paraId="2DDB83A3" w14:textId="77777777" w:rsidR="00160338" w:rsidRPr="0065554C" w:rsidRDefault="00160338" w:rsidP="005E311D">
      <w:pPr>
        <w:pStyle w:val="Numeral"/>
      </w:pPr>
      <w:r w:rsidRPr="0065554C">
        <w:t>Una vez publicadas las respuestas en el Sitio, el CENACE dará un espacio de al menos seis horas, contadas a partir de las 09:00 horas (GMT-6), del día señalado en el Calendario de la Subasta para este efecto, para que los Interesados, Compradores Potenciales o Licitantes puedan plantear “repreguntas”, las cuales deberán versar exclusivamente sobre las respuestas a las preguntas o solicitudes de aclaración planteadas en la junta de aclaraciones.</w:t>
      </w:r>
    </w:p>
    <w:p w14:paraId="5955D729" w14:textId="77777777" w:rsidR="00160338" w:rsidRPr="0065554C" w:rsidRDefault="00160338" w:rsidP="005E311D">
      <w:pPr>
        <w:pStyle w:val="Numeral"/>
      </w:pPr>
      <w:r w:rsidRPr="0065554C">
        <w:lastRenderedPageBreak/>
        <w:t>Para efectos de transparencia durante el proceso de la Subasta, los funcionarios del CENACE sólo podrán establecer comunicación con los Interesados, Compradores Potenciales o Licitantes por los medios establecidos en las Bases de Licitación.</w:t>
      </w:r>
    </w:p>
    <w:p w14:paraId="4D2C1CA8" w14:textId="77777777" w:rsidR="00160338" w:rsidRPr="0065554C" w:rsidRDefault="00160338" w:rsidP="00160338">
      <w:pPr>
        <w:pStyle w:val="Seccin"/>
      </w:pPr>
      <w:bookmarkStart w:id="160" w:name="_Toc436487856"/>
      <w:bookmarkStart w:id="161" w:name="_Toc436433760"/>
      <w:bookmarkStart w:id="162" w:name="_Toc450052174"/>
      <w:bookmarkStart w:id="163" w:name="_Toc312964144"/>
      <w:bookmarkStart w:id="164" w:name="_Toc450201416"/>
      <w:bookmarkStart w:id="165" w:name="_Toc450638579"/>
      <w:bookmarkStart w:id="166" w:name="_Toc479255718"/>
      <w:bookmarkStart w:id="167" w:name="_Toc454100237"/>
      <w:bookmarkStart w:id="168" w:name="_Toc479763760"/>
      <w:bookmarkStart w:id="169" w:name="_Toc509413006"/>
      <w:r w:rsidRPr="0065554C">
        <w:t>Modificaciones a las Bases de Licitación</w:t>
      </w:r>
      <w:bookmarkEnd w:id="160"/>
      <w:bookmarkEnd w:id="161"/>
      <w:bookmarkEnd w:id="162"/>
      <w:bookmarkEnd w:id="163"/>
      <w:bookmarkEnd w:id="164"/>
      <w:bookmarkEnd w:id="165"/>
      <w:bookmarkEnd w:id="166"/>
      <w:bookmarkEnd w:id="167"/>
      <w:bookmarkEnd w:id="168"/>
      <w:bookmarkEnd w:id="169"/>
    </w:p>
    <w:p w14:paraId="30542DED" w14:textId="73F40609" w:rsidR="00160338" w:rsidRPr="0065554C" w:rsidRDefault="00160338" w:rsidP="005E311D">
      <w:pPr>
        <w:pStyle w:val="Numeral"/>
      </w:pPr>
      <w:r w:rsidRPr="0065554C">
        <w:t>El CENACE podrá modificar las Bases de Licitación, sus Anexos e instructivos según lo considere necesario,</w:t>
      </w:r>
      <w:r w:rsidR="00463DDB" w:rsidRPr="0065554C">
        <w:t xml:space="preserve"> hasta antes de la publicación de la versión final de las mismas</w:t>
      </w:r>
      <w:r w:rsidRPr="0065554C">
        <w:t xml:space="preserve"> para que tales instrumentos contribuyan a fortalecer los principios que regulan la Subasta, en el entendido </w:t>
      </w:r>
      <w:r w:rsidR="00F43349">
        <w:t xml:space="preserve">de </w:t>
      </w:r>
      <w:r w:rsidRPr="0065554C">
        <w:t>que dichas modificaciones deberán contar con autorización de la</w:t>
      </w:r>
      <w:r w:rsidR="005956B2" w:rsidRPr="0065554C">
        <w:t xml:space="preserve"> CRE</w:t>
      </w:r>
      <w:r w:rsidR="005E7022" w:rsidRPr="0065554C">
        <w:t>.</w:t>
      </w:r>
      <w:r w:rsidR="005956B2" w:rsidRPr="0065554C">
        <w:t xml:space="preserve"> </w:t>
      </w:r>
      <w:r w:rsidR="005E7022" w:rsidRPr="0065554C">
        <w:t xml:space="preserve">Las modificaciones que se realicen, </w:t>
      </w:r>
      <w:r w:rsidR="00B776D5" w:rsidRPr="0065554C">
        <w:t>s</w:t>
      </w:r>
      <w:r w:rsidRPr="0065554C">
        <w:t>e deberán publicar en la página web del CENACE</w:t>
      </w:r>
      <w:r w:rsidR="00DD0273" w:rsidRPr="0065554C">
        <w:t xml:space="preserve"> y</w:t>
      </w:r>
      <w:r w:rsidRPr="0065554C">
        <w:t xml:space="preserve"> </w:t>
      </w:r>
      <w:r w:rsidR="00721F93" w:rsidRPr="0065554C">
        <w:t>de la CRE</w:t>
      </w:r>
      <w:r w:rsidR="00DD0273" w:rsidRPr="0065554C">
        <w:t>.</w:t>
      </w:r>
      <w:r w:rsidR="005956B2" w:rsidRPr="0065554C">
        <w:t xml:space="preserve"> </w:t>
      </w:r>
    </w:p>
    <w:p w14:paraId="2872AF39" w14:textId="77777777" w:rsidR="00160338" w:rsidRPr="0065554C" w:rsidRDefault="00160338" w:rsidP="005E311D">
      <w:pPr>
        <w:pStyle w:val="Numeral"/>
      </w:pPr>
      <w:r w:rsidRPr="0065554C">
        <w:t xml:space="preserve">El CENACE no realizará modificación alguna a los requisitos de precalificación establecidos en el Manual de Subastas de Largo Plazo; por lo </w:t>
      </w:r>
      <w:r w:rsidR="009003AF" w:rsidRPr="0065554C">
        <w:t>que,</w:t>
      </w:r>
      <w:r w:rsidRPr="0065554C">
        <w:t xml:space="preserve"> respecto de este tema, únicamente se realizarán aclaraciones o interpretaciones. </w:t>
      </w:r>
    </w:p>
    <w:p w14:paraId="52B8D42E" w14:textId="77777777" w:rsidR="00160338" w:rsidRPr="0065554C" w:rsidRDefault="00160338" w:rsidP="005E311D">
      <w:pPr>
        <w:pStyle w:val="Numeral"/>
      </w:pPr>
      <w:r w:rsidRPr="0065554C">
        <w:t xml:space="preserve">En caso de existir adecuaciones a las Bases de Licitación derivadas de las juntas de aclaraciones que se realicen antes de la publicación de la versión final de las Bases de Licitación, éstas serán asentadas en la versión final de las Bases de Licitación. </w:t>
      </w:r>
    </w:p>
    <w:p w14:paraId="17B0C493" w14:textId="77777777" w:rsidR="00160338" w:rsidRPr="0065554C" w:rsidRDefault="005E7022" w:rsidP="005E311D">
      <w:pPr>
        <w:pStyle w:val="Numeral"/>
      </w:pPr>
      <w:r w:rsidRPr="0065554C">
        <w:t>Después de la publicación de</w:t>
      </w:r>
      <w:r w:rsidR="00721F93" w:rsidRPr="0065554C">
        <w:t xml:space="preserve"> la versión final de las</w:t>
      </w:r>
      <w:r w:rsidR="00160338" w:rsidRPr="0065554C">
        <w:t xml:space="preserve"> Bases de Licitación</w:t>
      </w:r>
      <w:r w:rsidR="00721F93" w:rsidRPr="0065554C">
        <w:t xml:space="preserve">, incluidos </w:t>
      </w:r>
      <w:r w:rsidRPr="0065554C">
        <w:t>sus</w:t>
      </w:r>
      <w:r w:rsidR="00721F93" w:rsidRPr="0065554C">
        <w:t xml:space="preserve"> Anexos, estas</w:t>
      </w:r>
      <w:r w:rsidR="00160338" w:rsidRPr="0065554C">
        <w:t xml:space="preserve"> no podrán ser modificadas. Con posterioridad a esta publicación, el CENACE únicamente realizará aclaraciones o interpretaciones</w:t>
      </w:r>
      <w:r w:rsidR="00721F93" w:rsidRPr="0065554C">
        <w:t>, previa autorización de la CRE</w:t>
      </w:r>
      <w:r w:rsidR="00160338" w:rsidRPr="0065554C">
        <w:t xml:space="preserve">. </w:t>
      </w:r>
    </w:p>
    <w:p w14:paraId="73720966" w14:textId="77777777" w:rsidR="00160338" w:rsidRPr="0065554C" w:rsidRDefault="00160338" w:rsidP="005E311D">
      <w:pPr>
        <w:pStyle w:val="Numeral"/>
      </w:pPr>
      <w:r w:rsidRPr="0065554C">
        <w:t xml:space="preserve">En caso de realizarse juntas de aclaraciones con posterioridad a la publicación de la versión final de las Bases de Licitación, el CENACE emitirá las aclaraciones o interpretaciones correspondientes, que serán de observancia obligatoria para los Interesados, los Compradores Potenciales, los Licitantes y el CENACE. </w:t>
      </w:r>
    </w:p>
    <w:p w14:paraId="78DF91A0" w14:textId="77777777" w:rsidR="00160338" w:rsidRPr="0065554C" w:rsidRDefault="00160338" w:rsidP="005E311D">
      <w:pPr>
        <w:pStyle w:val="Numeral"/>
      </w:pPr>
      <w:r w:rsidRPr="0065554C">
        <w:t xml:space="preserve">Ante una inconsistencia o contradicción entre el texto de las Bases de Licitación y las respuestas del CENACE a los Interesados, prevalecerá el texto de las Bases de Licitación. </w:t>
      </w:r>
    </w:p>
    <w:p w14:paraId="33E2A5D4" w14:textId="77777777" w:rsidR="00D87A2E" w:rsidRPr="0065554C" w:rsidRDefault="00160338" w:rsidP="00D87A2E">
      <w:pPr>
        <w:pStyle w:val="Numeral"/>
      </w:pPr>
      <w:r w:rsidRPr="0065554C">
        <w:t>Los Interesados, Compradores Potenciales y Licitantes estarán obligados a observar lo establecido en la versión final de las Bases de Licitación de la Subasta, que se publicará en la</w:t>
      </w:r>
      <w:r w:rsidR="0092149B" w:rsidRPr="0065554C">
        <w:t>s</w:t>
      </w:r>
      <w:r w:rsidRPr="0065554C">
        <w:t xml:space="preserve"> páginas web del CENACE</w:t>
      </w:r>
      <w:r w:rsidR="00704CFC" w:rsidRPr="0065554C">
        <w:t xml:space="preserve"> y</w:t>
      </w:r>
      <w:r w:rsidR="00B15D22" w:rsidRPr="0065554C">
        <w:t xml:space="preserve"> de la CRE</w:t>
      </w:r>
      <w:r w:rsidRPr="0065554C">
        <w:t>, en la fecha indicada en el Calendario de la Subasta.</w:t>
      </w:r>
      <w:r w:rsidR="00D87A2E" w:rsidRPr="0065554C">
        <w:t xml:space="preserve"> </w:t>
      </w:r>
    </w:p>
    <w:p w14:paraId="190095DA" w14:textId="77777777" w:rsidR="00160338" w:rsidRPr="0065554C" w:rsidRDefault="00160338" w:rsidP="00160338">
      <w:pPr>
        <w:pStyle w:val="Seccin"/>
      </w:pPr>
      <w:bookmarkStart w:id="170" w:name="_Toc436487857"/>
      <w:bookmarkStart w:id="171" w:name="_Toc436433761"/>
      <w:bookmarkStart w:id="172" w:name="_Toc450052175"/>
      <w:bookmarkStart w:id="173" w:name="_Toc312964145"/>
      <w:bookmarkStart w:id="174" w:name="_Toc450201417"/>
      <w:bookmarkStart w:id="175" w:name="_Toc450638580"/>
      <w:bookmarkStart w:id="176" w:name="_Toc479255719"/>
      <w:bookmarkStart w:id="177" w:name="_Toc454100238"/>
      <w:bookmarkStart w:id="178" w:name="_Toc479763761"/>
      <w:bookmarkStart w:id="179" w:name="_Toc509413007"/>
      <w:r w:rsidRPr="0065554C">
        <w:t>Transparencia</w:t>
      </w:r>
      <w:bookmarkEnd w:id="170"/>
      <w:bookmarkEnd w:id="171"/>
      <w:bookmarkEnd w:id="172"/>
      <w:bookmarkEnd w:id="173"/>
      <w:bookmarkEnd w:id="174"/>
      <w:bookmarkEnd w:id="175"/>
      <w:bookmarkEnd w:id="176"/>
      <w:bookmarkEnd w:id="177"/>
      <w:bookmarkEnd w:id="178"/>
      <w:bookmarkEnd w:id="179"/>
    </w:p>
    <w:p w14:paraId="46818BE2" w14:textId="77777777" w:rsidR="00160338" w:rsidRPr="0065554C" w:rsidRDefault="00160338" w:rsidP="005E311D">
      <w:pPr>
        <w:pStyle w:val="Numeral"/>
      </w:pPr>
      <w:r w:rsidRPr="0065554C">
        <w:t>Para garantizar la transparencia y legalidad de los procesos, la Subasta contará con la participación de un Testigo Social, considerando lo siguiente:</w:t>
      </w:r>
    </w:p>
    <w:p w14:paraId="72E04613" w14:textId="77777777" w:rsidR="00160338" w:rsidRPr="0065554C" w:rsidRDefault="00160338" w:rsidP="005E311D">
      <w:pPr>
        <w:pStyle w:val="Inciso"/>
      </w:pPr>
      <w:r w:rsidRPr="0065554C">
        <w:t>El Testigo Social será el representante legítimo e imparcial de la sociedad civil.</w:t>
      </w:r>
    </w:p>
    <w:p w14:paraId="20ED331A" w14:textId="77777777" w:rsidR="00160338" w:rsidRPr="0065554C" w:rsidRDefault="00160338" w:rsidP="005E311D">
      <w:pPr>
        <w:pStyle w:val="Inciso"/>
      </w:pPr>
      <w:r w:rsidRPr="0065554C">
        <w:t>El Testigo Social será designado de entre los inscritos en el padrón de Testigos Sociales a cargo de la Secretaría de la Función Pública.</w:t>
      </w:r>
    </w:p>
    <w:p w14:paraId="46CE2B03" w14:textId="77777777" w:rsidR="00160338" w:rsidRPr="0065554C" w:rsidRDefault="00160338" w:rsidP="005E311D">
      <w:pPr>
        <w:pStyle w:val="Inciso"/>
      </w:pPr>
      <w:r w:rsidRPr="0065554C">
        <w:lastRenderedPageBreak/>
        <w:t>Sólo se acreditará como Testigo Social a quien cumpla con requisitos propios de su función; sea ciudadano mexicano o extranjero o una persona moral constituida bajo las leyes mexicanas; que no esté impedido; no esté inhabilitado y tenga un buen historial crediticio; presente ante el CENACE</w:t>
      </w:r>
      <w:r w:rsidR="00DE193C" w:rsidRPr="0065554C">
        <w:t xml:space="preserve"> </w:t>
      </w:r>
      <w:r w:rsidRPr="0065554C">
        <w:t>una declaración de no conflicto de intereses, y que firme un Acuerdo de confidencialidad con el CENACE.</w:t>
      </w:r>
    </w:p>
    <w:p w14:paraId="6E54DF43" w14:textId="77777777" w:rsidR="00160338" w:rsidRPr="0065554C" w:rsidRDefault="00160338" w:rsidP="005E311D">
      <w:pPr>
        <w:pStyle w:val="Inciso"/>
      </w:pPr>
      <w:r w:rsidRPr="0065554C">
        <w:t>El Testigo Social deberá participar a partir de la etapa en que</w:t>
      </w:r>
      <w:r w:rsidR="00804E14" w:rsidRPr="0065554C">
        <w:t xml:space="preserve"> </w:t>
      </w:r>
      <w:r w:rsidRPr="0065554C">
        <w:t>las distintas Entidades Responsables de Carga soliciten su registro para participar como Compradores Potenciales y presentar Ofertas de Compra en la Subasta</w:t>
      </w:r>
      <w:r w:rsidR="00FB1622" w:rsidRPr="0065554C">
        <w:t>,</w:t>
      </w:r>
      <w:r w:rsidRPr="0065554C">
        <w:t xml:space="preserve"> conforme a lo señalado en el numeral 5.1.6 (b) del Manual de Subastas de Largo Plazo.</w:t>
      </w:r>
    </w:p>
    <w:p w14:paraId="490610FD" w14:textId="77777777" w:rsidR="00160338" w:rsidRPr="0065554C" w:rsidRDefault="00160338" w:rsidP="005E311D">
      <w:pPr>
        <w:pStyle w:val="Inciso"/>
      </w:pPr>
      <w:r w:rsidRPr="0065554C">
        <w:t>En todo momento el Testigo Social participará con derecho a voz.</w:t>
      </w:r>
    </w:p>
    <w:p w14:paraId="08C6994C" w14:textId="77777777" w:rsidR="00160338" w:rsidRPr="0065554C" w:rsidRDefault="00160338" w:rsidP="005E311D">
      <w:pPr>
        <w:pStyle w:val="Inciso"/>
      </w:pPr>
      <w:r w:rsidRPr="0065554C">
        <w:t xml:space="preserve">El CENACE dará a conocer la designación del Testigo Social mediante publicación en </w:t>
      </w:r>
      <w:r w:rsidR="00F57DC1" w:rsidRPr="0065554C">
        <w:t>la</w:t>
      </w:r>
      <w:r w:rsidR="00FB1622" w:rsidRPr="0065554C">
        <w:t xml:space="preserve"> </w:t>
      </w:r>
      <w:r w:rsidRPr="0065554C">
        <w:t>página web del CENACE, así como en el Sitio</w:t>
      </w:r>
      <w:r w:rsidR="00AC466B" w:rsidRPr="0065554C">
        <w:t xml:space="preserve">, en la fecha señalada en el </w:t>
      </w:r>
      <w:r w:rsidR="00AC466B" w:rsidRPr="0065554C">
        <w:rPr>
          <w:b/>
        </w:rPr>
        <w:t>Anexo I</w:t>
      </w:r>
      <w:r w:rsidRPr="0065554C">
        <w:rPr>
          <w:b/>
        </w:rPr>
        <w:t>.</w:t>
      </w:r>
      <w:r w:rsidR="007D24A7" w:rsidRPr="0065554C">
        <w:rPr>
          <w:b/>
        </w:rPr>
        <w:t>1.</w:t>
      </w:r>
    </w:p>
    <w:p w14:paraId="45F3B4DA" w14:textId="77777777" w:rsidR="00160338" w:rsidRPr="0065554C" w:rsidRDefault="00160338" w:rsidP="005E311D">
      <w:pPr>
        <w:pStyle w:val="Inciso"/>
      </w:pPr>
      <w:r w:rsidRPr="0065554C">
        <w:t>Una vez que se emita el Fallo de la Subasta, el Testigo Social emitirá un testimonio final con sus observaciones y recomendaciones.</w:t>
      </w:r>
    </w:p>
    <w:p w14:paraId="316DEA89" w14:textId="77777777" w:rsidR="00160338" w:rsidRPr="0065554C" w:rsidRDefault="00160338" w:rsidP="00EB7A0F">
      <w:pPr>
        <w:pStyle w:val="Inciso"/>
      </w:pPr>
      <w:r w:rsidRPr="0065554C">
        <w:t>En caso de que el Testigo Social detecte irregularidades en los procedimientos de esta Subasta, deberá remitir su testimonio a la CR</w:t>
      </w:r>
      <w:r w:rsidR="005D6EB4" w:rsidRPr="0065554C">
        <w:t>E</w:t>
      </w:r>
      <w:r w:rsidR="00005FB4" w:rsidRPr="0065554C">
        <w:t xml:space="preserve"> y </w:t>
      </w:r>
      <w:r w:rsidRPr="0065554C">
        <w:t>al Órgano Interno de Control del CENACE.</w:t>
      </w:r>
    </w:p>
    <w:p w14:paraId="60CB4D5A" w14:textId="77777777" w:rsidR="00160338" w:rsidRPr="0065554C" w:rsidRDefault="00160338" w:rsidP="005E311D">
      <w:pPr>
        <w:pStyle w:val="Inciso"/>
      </w:pPr>
      <w:r w:rsidRPr="0065554C">
        <w:t>No deberá participar en los actos o actividades que lo expongan a información de acceso restringido clasificada como confidencial o reservada que ponga en riesgo la seguridad nacional, seguridad pública o la defensa nacional, en los términos de las disposiciones legales aplicables.</w:t>
      </w:r>
    </w:p>
    <w:p w14:paraId="72636FC0" w14:textId="77777777" w:rsidR="00747AAE" w:rsidRPr="0065554C" w:rsidRDefault="004C7441" w:rsidP="005E311D">
      <w:pPr>
        <w:pStyle w:val="Numeral"/>
      </w:pPr>
      <w:r w:rsidRPr="0065554C">
        <w:t>Ninguna persona que haya participado en el desarrollo de las Bases de Licitación</w:t>
      </w:r>
      <w:r w:rsidR="0092149B" w:rsidRPr="0065554C">
        <w:t>,</w:t>
      </w:r>
      <w:r w:rsidRPr="0065554C">
        <w:t xml:space="preserve"> de la Guía Operativa de la Cámara de Compensación</w:t>
      </w:r>
      <w:r w:rsidR="00005FB4" w:rsidRPr="0065554C">
        <w:t xml:space="preserve"> y </w:t>
      </w:r>
      <w:r w:rsidR="0092149B" w:rsidRPr="0065554C">
        <w:t>el proceso de selección del operador de la Cámara de Compensación</w:t>
      </w:r>
      <w:r w:rsidRPr="0065554C">
        <w:t xml:space="preserve"> bajo remuneración directa o indirecta de la Secretaría, la CRE o el CENACE, podrá participar </w:t>
      </w:r>
      <w:r w:rsidR="00721F93" w:rsidRPr="0065554C">
        <w:t xml:space="preserve">como Licitante, ni como Comprador Potencial, ni </w:t>
      </w:r>
      <w:r w:rsidRPr="0065554C">
        <w:t>como empleado, asesor, contratista, mandatario</w:t>
      </w:r>
      <w:r w:rsidR="00747AAE" w:rsidRPr="0065554C">
        <w:t>,</w:t>
      </w:r>
      <w:r w:rsidRPr="0065554C">
        <w:t xml:space="preserve"> accionista, miembro o suplente del Consejo de Administración u órganos de toma de decisión, </w:t>
      </w:r>
      <w:r w:rsidR="00721F93" w:rsidRPr="0065554C">
        <w:t xml:space="preserve">o en cualquier otra </w:t>
      </w:r>
      <w:r w:rsidRPr="0065554C">
        <w:t>de algún Interesado, Licitante</w:t>
      </w:r>
      <w:r w:rsidR="00EF7938" w:rsidRPr="0065554C">
        <w:t>,</w:t>
      </w:r>
      <w:r w:rsidRPr="0065554C">
        <w:t xml:space="preserve">  Comprador Potencial en la Subasta</w:t>
      </w:r>
      <w:r w:rsidR="00EF7938" w:rsidRPr="0065554C">
        <w:t xml:space="preserve"> o de la Sociedad de Propósito Específico con </w:t>
      </w:r>
      <w:r w:rsidR="004068E4" w:rsidRPr="0065554C">
        <w:t>la que pretenda suscribir el Contrato en caso de resultar ganador</w:t>
      </w:r>
      <w:r w:rsidR="00AC466B" w:rsidRPr="0065554C">
        <w:t>.</w:t>
      </w:r>
      <w:r w:rsidR="00747AAE" w:rsidRPr="0065554C">
        <w:t xml:space="preserve"> </w:t>
      </w:r>
      <w:r w:rsidR="00AC466B" w:rsidRPr="0065554C">
        <w:t>Esta</w:t>
      </w:r>
      <w:r w:rsidR="00747AAE" w:rsidRPr="0065554C">
        <w:t xml:space="preserve"> </w:t>
      </w:r>
      <w:r w:rsidRPr="0065554C">
        <w:t xml:space="preserve">restricción </w:t>
      </w:r>
      <w:r w:rsidR="00AC466B" w:rsidRPr="0065554C">
        <w:t xml:space="preserve">aplicará </w:t>
      </w:r>
      <w:r w:rsidRPr="0065554C">
        <w:t xml:space="preserve">a la fecha de la presentación de su Oferta de Compra </w:t>
      </w:r>
      <w:r w:rsidR="00721F93" w:rsidRPr="0065554C">
        <w:t>o en el término de la etapa de Precalificación de</w:t>
      </w:r>
      <w:r w:rsidRPr="0065554C">
        <w:t xml:space="preserve"> Oferta</w:t>
      </w:r>
      <w:r w:rsidR="00721F93" w:rsidRPr="0065554C">
        <w:t>s</w:t>
      </w:r>
      <w:r w:rsidRPr="0065554C">
        <w:t xml:space="preserve"> de Venta respectivamente</w:t>
      </w:r>
      <w:r w:rsidR="00747AAE" w:rsidRPr="0065554C">
        <w:t>.</w:t>
      </w:r>
      <w:r w:rsidRPr="0065554C">
        <w:t> </w:t>
      </w:r>
    </w:p>
    <w:p w14:paraId="6BC314D4" w14:textId="77777777" w:rsidR="004C7441" w:rsidRPr="0065554C" w:rsidRDefault="004C7441" w:rsidP="007970C4">
      <w:pPr>
        <w:pStyle w:val="Numeral"/>
        <w:numPr>
          <w:ilvl w:val="0"/>
          <w:numId w:val="0"/>
        </w:numPr>
        <w:ind w:left="1844"/>
      </w:pPr>
      <w:r w:rsidRPr="0065554C">
        <w:t>Los Interesados, Compradores Potenciales y Licitantes no podrán ser ni contratar a personas físicas o morales que hayan participado en la elaboración de las Bases de Licitación</w:t>
      </w:r>
      <w:r w:rsidR="0092149B" w:rsidRPr="0065554C">
        <w:t>, de la Guía Operativa de la Cámara de Compensación y el proceso de selección del operador de la Cámara de Compensación</w:t>
      </w:r>
      <w:r w:rsidRPr="0065554C">
        <w:t xml:space="preserve">, tampoco podrán ser ni contar con dichas personas </w:t>
      </w:r>
      <w:r w:rsidR="00D75F7C" w:rsidRPr="0065554C">
        <w:t>entre</w:t>
      </w:r>
      <w:r w:rsidRPr="0065554C">
        <w:t xml:space="preserve"> sus accionistas </w:t>
      </w:r>
      <w:r w:rsidR="00D75F7C" w:rsidRPr="0065554C">
        <w:t>o</w:t>
      </w:r>
      <w:r w:rsidRPr="0065554C">
        <w:t xml:space="preserve"> miembros o suplentes de Consejo de Administración u órganos de toma de decisión</w:t>
      </w:r>
      <w:r w:rsidR="00721F93" w:rsidRPr="0065554C">
        <w:t xml:space="preserve"> o en cualquier otra</w:t>
      </w:r>
      <w:r w:rsidR="00D75F7C" w:rsidRPr="0065554C">
        <w:t>.</w:t>
      </w:r>
      <w:r w:rsidR="004068E4" w:rsidRPr="0065554C">
        <w:t xml:space="preserve"> Esta restricción deberá ser </w:t>
      </w:r>
      <w:r w:rsidR="008A7FDC" w:rsidRPr="0065554C">
        <w:t>aplicada por los Licitantes en la Sociedad</w:t>
      </w:r>
      <w:r w:rsidR="00721F93" w:rsidRPr="0065554C">
        <w:t>(es)</w:t>
      </w:r>
      <w:r w:rsidR="008A7FDC" w:rsidRPr="0065554C">
        <w:t xml:space="preserve"> de Propósito Específico con la</w:t>
      </w:r>
      <w:r w:rsidR="00721F93" w:rsidRPr="0065554C">
        <w:t>(s)</w:t>
      </w:r>
      <w:r w:rsidR="008A7FDC" w:rsidRPr="0065554C">
        <w:t xml:space="preserve"> que pretenda suscribir el Contrato en caso de resultar ganador.</w:t>
      </w:r>
      <w:r w:rsidR="006C6A32" w:rsidRPr="0065554C">
        <w:t xml:space="preserve">  </w:t>
      </w:r>
    </w:p>
    <w:p w14:paraId="3603016D" w14:textId="77777777" w:rsidR="00160338" w:rsidRPr="0065554C" w:rsidRDefault="00D75F7C" w:rsidP="005E311D">
      <w:pPr>
        <w:pStyle w:val="Numeral"/>
      </w:pPr>
      <w:r w:rsidRPr="0065554C">
        <w:lastRenderedPageBreak/>
        <w:t xml:space="preserve">En la fecha prevista en el Calendario </w:t>
      </w:r>
      <w:r w:rsidR="0074089E" w:rsidRPr="0065554C">
        <w:t xml:space="preserve">de la Subasta </w:t>
      </w:r>
      <w:r w:rsidRPr="0065554C">
        <w:t xml:space="preserve">contenido en </w:t>
      </w:r>
      <w:r w:rsidR="0074089E" w:rsidRPr="0065554C">
        <w:t>el</w:t>
      </w:r>
      <w:r w:rsidRPr="0065554C">
        <w:t xml:space="preserve"> </w:t>
      </w:r>
      <w:r w:rsidRPr="0065554C">
        <w:rPr>
          <w:b/>
        </w:rPr>
        <w:t>Anexo I</w:t>
      </w:r>
      <w:r w:rsidR="0074089E" w:rsidRPr="0065554C">
        <w:rPr>
          <w:b/>
        </w:rPr>
        <w:t>.1</w:t>
      </w:r>
      <w:r w:rsidRPr="0065554C">
        <w:t xml:space="preserve">, </w:t>
      </w:r>
      <w:r w:rsidR="00160338" w:rsidRPr="0065554C">
        <w:t xml:space="preserve">el CENACE </w:t>
      </w:r>
      <w:r w:rsidR="00FB1622" w:rsidRPr="0065554C">
        <w:t>publicará</w:t>
      </w:r>
      <w:r w:rsidR="00160338" w:rsidRPr="0065554C">
        <w:t xml:space="preserve"> la lista de personas físicas </w:t>
      </w:r>
      <w:r w:rsidR="00F57DC1" w:rsidRPr="0065554C">
        <w:t>y</w:t>
      </w:r>
      <w:r w:rsidR="00160338" w:rsidRPr="0065554C">
        <w:t xml:space="preserve"> morales que </w:t>
      </w:r>
      <w:r w:rsidR="00FB1622" w:rsidRPr="0065554C">
        <w:t>le envíen la CRE</w:t>
      </w:r>
      <w:r w:rsidR="00721F93" w:rsidRPr="0065554C">
        <w:t xml:space="preserve">, la Cámara de Compensación </w:t>
      </w:r>
      <w:r w:rsidR="00FB1622" w:rsidRPr="0065554C">
        <w:t xml:space="preserve">, así como las que elabore el propio CENACE sobre su personal y el de sus contratistas, que </w:t>
      </w:r>
      <w:r w:rsidR="00160338" w:rsidRPr="0065554C">
        <w:t xml:space="preserve">directa o indirectamente participaron en </w:t>
      </w:r>
      <w:r w:rsidR="00462290" w:rsidRPr="0065554C">
        <w:t xml:space="preserve">desarrollo de </w:t>
      </w:r>
      <w:r w:rsidR="00160338" w:rsidRPr="0065554C">
        <w:t>las Bases de Licitación de la Subasta</w:t>
      </w:r>
      <w:r w:rsidR="00FB1622" w:rsidRPr="0065554C">
        <w:t>,</w:t>
      </w:r>
      <w:r w:rsidR="00786AB6" w:rsidRPr="0065554C">
        <w:t xml:space="preserve"> </w:t>
      </w:r>
      <w:r w:rsidR="00FB1622" w:rsidRPr="0065554C">
        <w:t xml:space="preserve">cuya </w:t>
      </w:r>
      <w:r w:rsidR="00160338" w:rsidRPr="0065554C">
        <w:t>relación en los términos del párrafo anterior con un Interesado</w:t>
      </w:r>
      <w:r w:rsidR="00D93729" w:rsidRPr="0065554C">
        <w:t>, Comprador Potencial</w:t>
      </w:r>
      <w:r w:rsidR="00160338" w:rsidRPr="0065554C">
        <w:t xml:space="preserve"> o Licitante generaría un conflicto de interés. </w:t>
      </w:r>
      <w:r w:rsidR="00FB1622" w:rsidRPr="0065554C">
        <w:t>El</w:t>
      </w:r>
      <w:r w:rsidR="00160338" w:rsidRPr="0065554C">
        <w:t xml:space="preserve"> CENACE </w:t>
      </w:r>
      <w:r w:rsidR="00FB1622" w:rsidRPr="0065554C">
        <w:t>publicará</w:t>
      </w:r>
      <w:r w:rsidR="00160338" w:rsidRPr="0065554C">
        <w:t xml:space="preserve"> en </w:t>
      </w:r>
      <w:r w:rsidR="00FB1622" w:rsidRPr="0065554C">
        <w:t>su página</w:t>
      </w:r>
      <w:r w:rsidR="00160338" w:rsidRPr="0065554C">
        <w:t xml:space="preserve"> web</w:t>
      </w:r>
      <w:r w:rsidR="00FB1622" w:rsidRPr="0065554C">
        <w:t>,</w:t>
      </w:r>
      <w:r w:rsidR="00160338" w:rsidRPr="0065554C">
        <w:t xml:space="preserve"> a más tardar en la fecha límite señalada al efecto en el Calendario de la Subasta, la lista de personas que se ubican en los supuestos mencionados en el numeral anterior.</w:t>
      </w:r>
    </w:p>
    <w:p w14:paraId="2C5A888B" w14:textId="77777777" w:rsidR="00160338" w:rsidRPr="0065554C" w:rsidRDefault="00160338" w:rsidP="005E311D">
      <w:pPr>
        <w:pStyle w:val="Numeral"/>
      </w:pPr>
      <w:r w:rsidRPr="0065554C">
        <w:t>Los Interesados deberán presentar la declaración bajo protesta de decir verdad en la que manifiesten que para el desarrollo de las Ofertas de Compra o de las Ofertas de Venta que pretendan presentar en la Subasta, según sea el caso, no contaron con la participación de las personas identificadas</w:t>
      </w:r>
      <w:r w:rsidR="00A33F6E" w:rsidRPr="0065554C">
        <w:t xml:space="preserve"> por</w:t>
      </w:r>
      <w:r w:rsidRPr="0065554C">
        <w:t xml:space="preserve"> la CRE</w:t>
      </w:r>
      <w:r w:rsidR="00721F93" w:rsidRPr="0065554C">
        <w:t>,</w:t>
      </w:r>
      <w:r w:rsidRPr="0065554C">
        <w:t xml:space="preserve"> </w:t>
      </w:r>
      <w:r w:rsidR="00721F93" w:rsidRPr="0065554C">
        <w:t xml:space="preserve">la Cámara de </w:t>
      </w:r>
      <w:r w:rsidR="006E6A9B" w:rsidRPr="0065554C">
        <w:t>Compensación y</w:t>
      </w:r>
      <w:r w:rsidRPr="0065554C">
        <w:t xml:space="preserve"> el CENACE, conforme a lo señalado en los numerales 3.9.2 y 3.9.3. Esta declaración deberá elaborarse en los términos del formato contenido en el </w:t>
      </w:r>
      <w:r w:rsidRPr="0065554C">
        <w:rPr>
          <w:b/>
        </w:rPr>
        <w:t>Anexo III.5</w:t>
      </w:r>
      <w:r w:rsidR="00656CD5" w:rsidRPr="0065554C">
        <w:rPr>
          <w:b/>
        </w:rPr>
        <w:t>Bis</w:t>
      </w:r>
      <w:r w:rsidRPr="0065554C">
        <w:rPr>
          <w:b/>
        </w:rPr>
        <w:t xml:space="preserve">, </w:t>
      </w:r>
      <w:r w:rsidRPr="0065554C">
        <w:t>estar suscrita por quien tenga facultades para representar y obligar al Interesado, y presentarse junto con la</w:t>
      </w:r>
      <w:r w:rsidR="007A615F" w:rsidRPr="0065554C">
        <w:t>(s)</w:t>
      </w:r>
      <w:r w:rsidRPr="0065554C">
        <w:t xml:space="preserve"> </w:t>
      </w:r>
      <w:r w:rsidR="007A615F" w:rsidRPr="0065554C">
        <w:t>Oferta(s) de Compra</w:t>
      </w:r>
      <w:r w:rsidRPr="0065554C">
        <w:t xml:space="preserve"> o</w:t>
      </w:r>
      <w:r w:rsidR="00656CD5" w:rsidRPr="0065554C">
        <w:t xml:space="preserve"> en términos del </w:t>
      </w:r>
      <w:r w:rsidR="00656CD5" w:rsidRPr="0065554C">
        <w:rPr>
          <w:b/>
        </w:rPr>
        <w:t>Anexo III.5,</w:t>
      </w:r>
      <w:r w:rsidRPr="0065554C">
        <w:t xml:space="preserve"> </w:t>
      </w:r>
      <w:r w:rsidR="00656CD5" w:rsidRPr="0065554C">
        <w:t xml:space="preserve">estar suscrita por quien tenga facultades para representar y obligar al Interesado, y presentarse junto </w:t>
      </w:r>
      <w:r w:rsidR="007A615F" w:rsidRPr="0065554C">
        <w:t>la</w:t>
      </w:r>
      <w:r w:rsidRPr="0065554C">
        <w:t xml:space="preserve"> solicitud de precalificación de Oferta</w:t>
      </w:r>
      <w:r w:rsidR="007A615F" w:rsidRPr="0065554C">
        <w:t>(s)</w:t>
      </w:r>
      <w:r w:rsidRPr="0065554C">
        <w:t xml:space="preserve"> de Venta</w:t>
      </w:r>
      <w:r w:rsidR="008E43F9" w:rsidRPr="0065554C">
        <w:t>,</w:t>
      </w:r>
      <w:r w:rsidRPr="0065554C">
        <w:t xml:space="preserve"> según corresponda.</w:t>
      </w:r>
    </w:p>
    <w:p w14:paraId="2834FD16" w14:textId="77777777" w:rsidR="00160338" w:rsidRPr="0065554C" w:rsidRDefault="00160338" w:rsidP="00160338">
      <w:pPr>
        <w:pStyle w:val="Seccin"/>
      </w:pPr>
      <w:bookmarkStart w:id="180" w:name="_Toc436487858"/>
      <w:bookmarkStart w:id="181" w:name="_Toc436433762"/>
      <w:bookmarkStart w:id="182" w:name="_Toc450052176"/>
      <w:bookmarkStart w:id="183" w:name="_Toc312964146"/>
      <w:bookmarkStart w:id="184" w:name="_Toc450201418"/>
      <w:bookmarkStart w:id="185" w:name="_Toc450638581"/>
      <w:bookmarkStart w:id="186" w:name="_Toc479255720"/>
      <w:bookmarkStart w:id="187" w:name="_Toc454100239"/>
      <w:bookmarkStart w:id="188" w:name="_Toc479763762"/>
      <w:bookmarkStart w:id="189" w:name="_Toc509413008"/>
      <w:r w:rsidRPr="0065554C">
        <w:t>Subasta desierta</w:t>
      </w:r>
      <w:bookmarkEnd w:id="180"/>
      <w:bookmarkEnd w:id="181"/>
      <w:bookmarkEnd w:id="182"/>
      <w:bookmarkEnd w:id="183"/>
      <w:bookmarkEnd w:id="184"/>
      <w:bookmarkEnd w:id="185"/>
      <w:bookmarkEnd w:id="186"/>
      <w:bookmarkEnd w:id="187"/>
      <w:bookmarkEnd w:id="188"/>
      <w:bookmarkEnd w:id="189"/>
    </w:p>
    <w:p w14:paraId="13DDFE80" w14:textId="77777777" w:rsidR="00160338" w:rsidRPr="0065554C" w:rsidRDefault="00160338" w:rsidP="005E311D">
      <w:pPr>
        <w:pStyle w:val="Numeral"/>
      </w:pPr>
      <w:r w:rsidRPr="0065554C">
        <w:t>El CENACE procederá a declarar desierta la Subasta en los casos siguientes:</w:t>
      </w:r>
    </w:p>
    <w:p w14:paraId="46792F3E" w14:textId="77777777" w:rsidR="00160338" w:rsidRPr="0065554C" w:rsidRDefault="00160338" w:rsidP="005E311D">
      <w:pPr>
        <w:pStyle w:val="Inciso"/>
      </w:pPr>
      <w:r w:rsidRPr="0065554C">
        <w:t>Cuando ningún Interesado haya realizado el pago por la adquisición de las Bases de Licitación dentro del plazo señalado para ello en el Calendario de la Subasta.</w:t>
      </w:r>
    </w:p>
    <w:p w14:paraId="321646F3" w14:textId="77777777" w:rsidR="00160338" w:rsidRPr="0065554C" w:rsidRDefault="00160338" w:rsidP="005E311D">
      <w:pPr>
        <w:pStyle w:val="Inciso"/>
      </w:pPr>
      <w:r w:rsidRPr="0065554C">
        <w:t>Cuando el Suministrador de Servicios Básicos no haya solicitado su registro como Comprador Potencial dentro del plazo señalado para ello en el Calendario de la Subasta.</w:t>
      </w:r>
    </w:p>
    <w:p w14:paraId="1BACA18F" w14:textId="77777777" w:rsidR="00160338" w:rsidRPr="0065554C" w:rsidRDefault="00160338" w:rsidP="005E311D">
      <w:pPr>
        <w:pStyle w:val="Inciso"/>
      </w:pPr>
      <w:r w:rsidRPr="0065554C">
        <w:t xml:space="preserve">Cuando el Suministrador de Servicios Básicos no haya presentado al CENACE </w:t>
      </w:r>
      <w:r w:rsidR="00F57DC1" w:rsidRPr="0065554C">
        <w:t>su</w:t>
      </w:r>
      <w:r w:rsidRPr="0065554C">
        <w:t xml:space="preserve"> Oferta de Compra dentro del plazo señalado para ello en el Calendario de la Subasta.</w:t>
      </w:r>
    </w:p>
    <w:p w14:paraId="48BEB727" w14:textId="77777777" w:rsidR="00160338" w:rsidRPr="0065554C" w:rsidRDefault="00160338" w:rsidP="005E311D">
      <w:pPr>
        <w:pStyle w:val="Inciso"/>
      </w:pPr>
      <w:r w:rsidRPr="0065554C">
        <w:t>Cuando la cantidad total de Potencia, Energía Eléctrica Acumulable y CEL que ofrezca comprar el Comprador Potencial en la Subasta corresponda a una Capacidad Instalada menor a 500 MW, considerando un factor de planta del 100%, solamente si es el caso que tanto el CENACE como la CRE coinciden en que no existe interés suficiente para justificar la Subasta. En este caso, el CENACE y la CRE deberán observar el procedimiento previsto en el numeral 2.2.2 del Manual de Subastas de Largo Plazo.</w:t>
      </w:r>
    </w:p>
    <w:p w14:paraId="57852297" w14:textId="77777777" w:rsidR="00160338" w:rsidRPr="0065554C" w:rsidRDefault="00160338" w:rsidP="005E311D">
      <w:pPr>
        <w:pStyle w:val="Inciso"/>
      </w:pPr>
      <w:r w:rsidRPr="0065554C">
        <w:t>Cuando no se presente ninguna solicitud de precalificación de Oferta de Venta.</w:t>
      </w:r>
    </w:p>
    <w:p w14:paraId="298CE960" w14:textId="77777777" w:rsidR="00160338" w:rsidRPr="0065554C" w:rsidRDefault="00160338" w:rsidP="005E311D">
      <w:pPr>
        <w:pStyle w:val="Inciso"/>
      </w:pPr>
      <w:r w:rsidRPr="0065554C">
        <w:t xml:space="preserve">Si ningún Licitante presenta </w:t>
      </w:r>
      <w:r w:rsidR="00D93729" w:rsidRPr="0065554C">
        <w:t>G</w:t>
      </w:r>
      <w:r w:rsidRPr="0065554C">
        <w:t xml:space="preserve">arantías de </w:t>
      </w:r>
      <w:r w:rsidR="00D93729" w:rsidRPr="0065554C">
        <w:t>S</w:t>
      </w:r>
      <w:r w:rsidRPr="0065554C">
        <w:t>eriedad.</w:t>
      </w:r>
    </w:p>
    <w:p w14:paraId="1DE1DEA5" w14:textId="77777777" w:rsidR="00160338" w:rsidRPr="0065554C" w:rsidRDefault="00160338" w:rsidP="005E311D">
      <w:pPr>
        <w:pStyle w:val="Inciso"/>
      </w:pPr>
      <w:r w:rsidRPr="0065554C">
        <w:t>Si ningún Licitante presenta una Oferta de Venta.</w:t>
      </w:r>
    </w:p>
    <w:p w14:paraId="7D272074" w14:textId="77777777" w:rsidR="00160338" w:rsidRPr="0065554C" w:rsidRDefault="00160338" w:rsidP="005E311D">
      <w:pPr>
        <w:pStyle w:val="Inciso"/>
      </w:pPr>
      <w:r w:rsidRPr="0065554C">
        <w:t>Cuando todas las Ofertas de Venta recibidas por el CENACE sean desechadas.</w:t>
      </w:r>
    </w:p>
    <w:p w14:paraId="6114EB0A" w14:textId="77777777" w:rsidR="00160338" w:rsidRPr="0065554C" w:rsidRDefault="00160338" w:rsidP="005E311D">
      <w:pPr>
        <w:pStyle w:val="Inciso"/>
      </w:pPr>
      <w:r w:rsidRPr="0065554C">
        <w:lastRenderedPageBreak/>
        <w:t>Cuando ninguna Oferta de Venta que haya sido evaluada sea declarada ganadora.</w:t>
      </w:r>
    </w:p>
    <w:p w14:paraId="7A89C3DC" w14:textId="77777777" w:rsidR="00160338" w:rsidRPr="0065554C" w:rsidRDefault="00160338" w:rsidP="005E311D">
      <w:pPr>
        <w:pStyle w:val="Numeral"/>
      </w:pPr>
      <w:r w:rsidRPr="0065554C">
        <w:t>Una vez que el CENACE declare la Subasta desierta, elaborará el acta correspondiente, que contendrá al menos la siguiente información:</w:t>
      </w:r>
    </w:p>
    <w:p w14:paraId="122BB7F9" w14:textId="77777777" w:rsidR="00160338" w:rsidRPr="0065554C" w:rsidRDefault="00160338" w:rsidP="005E311D">
      <w:pPr>
        <w:pStyle w:val="Inciso"/>
      </w:pPr>
      <w:r w:rsidRPr="0065554C">
        <w:t>La fecha de emisión del acto.</w:t>
      </w:r>
    </w:p>
    <w:p w14:paraId="323D9869" w14:textId="77777777" w:rsidR="00160338" w:rsidRPr="0065554C" w:rsidRDefault="00160338" w:rsidP="005E311D">
      <w:pPr>
        <w:pStyle w:val="Inciso"/>
      </w:pPr>
      <w:r w:rsidRPr="0065554C">
        <w:t>Los datos de identificación de la unidad administrativa emisora del acto.</w:t>
      </w:r>
    </w:p>
    <w:p w14:paraId="000CBC88" w14:textId="77777777" w:rsidR="00160338" w:rsidRPr="0065554C" w:rsidRDefault="00160338" w:rsidP="005E311D">
      <w:pPr>
        <w:pStyle w:val="Inciso"/>
      </w:pPr>
      <w:r w:rsidRPr="0065554C">
        <w:t>La situación que motivó tal declaración.</w:t>
      </w:r>
    </w:p>
    <w:p w14:paraId="03A94C5B" w14:textId="77777777" w:rsidR="00160338" w:rsidRPr="0065554C" w:rsidRDefault="00160338" w:rsidP="005E311D">
      <w:pPr>
        <w:pStyle w:val="Inciso"/>
      </w:pPr>
      <w:r w:rsidRPr="0065554C">
        <w:t>La firma autógrafa del servidor público que emita el acto.</w:t>
      </w:r>
    </w:p>
    <w:p w14:paraId="10E2F337" w14:textId="77777777" w:rsidR="00160338" w:rsidRPr="0065554C" w:rsidRDefault="00160338" w:rsidP="005E311D">
      <w:pPr>
        <w:pStyle w:val="Inciso"/>
      </w:pPr>
      <w:r w:rsidRPr="0065554C">
        <w:t>La firma autógrafa del Testigo Social.</w:t>
      </w:r>
    </w:p>
    <w:p w14:paraId="6D992FEE" w14:textId="77777777" w:rsidR="00160338" w:rsidRPr="0065554C" w:rsidRDefault="00160338" w:rsidP="005E311D">
      <w:pPr>
        <w:pStyle w:val="Numeral"/>
      </w:pPr>
      <w:r w:rsidRPr="0065554C">
        <w:t xml:space="preserve">En caso de </w:t>
      </w:r>
      <w:r w:rsidR="00DB611F" w:rsidRPr="0065554C">
        <w:t xml:space="preserve">que </w:t>
      </w:r>
      <w:r w:rsidRPr="0065554C">
        <w:t xml:space="preserve">la Subasta se declare desierta, no se hará referencia ni se divulgarán las características particulares de los Licitantes ni de las Ofertas de Venta presentadas, por lo que en el acta correspondiente sólo se hará constar, en su caso: </w:t>
      </w:r>
    </w:p>
    <w:p w14:paraId="28D0B8E3" w14:textId="77777777" w:rsidR="00160338" w:rsidRPr="0065554C" w:rsidRDefault="00DB3191" w:rsidP="005E311D">
      <w:pPr>
        <w:pStyle w:val="Inciso"/>
      </w:pPr>
      <w:r w:rsidRPr="0065554C">
        <w:t>E</w:t>
      </w:r>
      <w:r w:rsidR="00160338" w:rsidRPr="0065554C">
        <w:t>l número de Ofertas de Venta precalificadas o recibidas;</w:t>
      </w:r>
    </w:p>
    <w:p w14:paraId="6A51B4CE" w14:textId="77777777" w:rsidR="00160338" w:rsidRPr="0065554C" w:rsidRDefault="00DB3191" w:rsidP="005E311D">
      <w:pPr>
        <w:pStyle w:val="Inciso"/>
      </w:pPr>
      <w:r w:rsidRPr="0065554C">
        <w:t>E</w:t>
      </w:r>
      <w:r w:rsidR="00160338" w:rsidRPr="0065554C">
        <w:t>l porcentaje de Productos ofrecido respecto del total, y</w:t>
      </w:r>
    </w:p>
    <w:p w14:paraId="5B922298" w14:textId="77777777" w:rsidR="00160338" w:rsidRPr="0065554C" w:rsidRDefault="00DB3191" w:rsidP="005E311D">
      <w:pPr>
        <w:pStyle w:val="Inciso"/>
      </w:pPr>
      <w:r w:rsidRPr="0065554C">
        <w:t>L</w:t>
      </w:r>
      <w:r w:rsidR="00160338" w:rsidRPr="0065554C">
        <w:t>a condición que no se cumplió, sin revelar en ningún caso información específica de las Ofertas de Venta recibidas.</w:t>
      </w:r>
    </w:p>
    <w:p w14:paraId="1046004E" w14:textId="77777777" w:rsidR="00F51D8A" w:rsidRPr="0065554C" w:rsidRDefault="00F51D8A" w:rsidP="00F51D8A">
      <w:pPr>
        <w:pStyle w:val="Numeral"/>
      </w:pPr>
      <w:r w:rsidRPr="0065554C">
        <w:t xml:space="preserve">En un plazo que no excederá de </w:t>
      </w:r>
      <w:r w:rsidR="00F73427" w:rsidRPr="0065554C">
        <w:t>diez</w:t>
      </w:r>
      <w:r w:rsidRPr="0065554C">
        <w:t xml:space="preserve"> días hábiles siguientes a la declaración de Subasta desierta, el CENACE r</w:t>
      </w:r>
      <w:r w:rsidRPr="0065554C">
        <w:rPr>
          <w:rFonts w:ascii="Calibri" w:hAnsi="Calibri"/>
          <w:shd w:val="clear" w:color="auto" w:fill="FFFFFF"/>
        </w:rPr>
        <w:t xml:space="preserve">emitirá su conformidad de cancelación de la carta de crédito a la Institución Financiera que la haya emitido, mediante el </w:t>
      </w:r>
      <w:r w:rsidRPr="0065554C">
        <w:rPr>
          <w:rFonts w:ascii="Calibri" w:hAnsi="Calibri"/>
          <w:b/>
          <w:shd w:val="clear" w:color="auto" w:fill="FFFFFF"/>
        </w:rPr>
        <w:t>Anexo D</w:t>
      </w:r>
      <w:r w:rsidRPr="0065554C">
        <w:rPr>
          <w:rFonts w:ascii="Calibri" w:hAnsi="Calibri"/>
          <w:shd w:val="clear" w:color="auto" w:fill="FFFFFF"/>
        </w:rPr>
        <w:t xml:space="preserve"> </w:t>
      </w:r>
      <w:r w:rsidR="00F96652" w:rsidRPr="0065554C">
        <w:rPr>
          <w:rFonts w:ascii="Calibri" w:hAnsi="Calibri"/>
          <w:shd w:val="clear" w:color="auto" w:fill="FFFFFF"/>
        </w:rPr>
        <w:t>denominado “</w:t>
      </w:r>
      <w:r w:rsidR="00F73427" w:rsidRPr="0065554C">
        <w:rPr>
          <w:rFonts w:ascii="Calibri" w:hAnsi="Calibri"/>
          <w:shd w:val="clear" w:color="auto" w:fill="FFFFFF"/>
        </w:rPr>
        <w:t>Formato de conformidad de cancelación de la carta de crédito standby irrevocable</w:t>
      </w:r>
      <w:r w:rsidR="00F96652" w:rsidRPr="0065554C">
        <w:rPr>
          <w:rFonts w:ascii="Calibri" w:hAnsi="Calibri"/>
          <w:shd w:val="clear" w:color="auto" w:fill="FFFFFF"/>
        </w:rPr>
        <w:t xml:space="preserve">” incluido en </w:t>
      </w:r>
      <w:r w:rsidRPr="0065554C">
        <w:rPr>
          <w:rFonts w:ascii="Calibri" w:hAnsi="Calibri"/>
          <w:shd w:val="clear" w:color="auto" w:fill="FFFFFF"/>
        </w:rPr>
        <w:t>el</w:t>
      </w:r>
      <w:r w:rsidRPr="0065554C">
        <w:rPr>
          <w:rStyle w:val="apple-converted-space"/>
          <w:rFonts w:ascii="Calibri" w:hAnsi="Calibri"/>
          <w:shd w:val="clear" w:color="auto" w:fill="FFFFFF"/>
        </w:rPr>
        <w:t> </w:t>
      </w:r>
      <w:r w:rsidRPr="0065554C">
        <w:rPr>
          <w:rFonts w:ascii="Calibri" w:hAnsi="Calibri"/>
          <w:b/>
          <w:bCs/>
          <w:shd w:val="clear" w:color="auto" w:fill="FFFFFF"/>
        </w:rPr>
        <w:t>Anexo V.2</w:t>
      </w:r>
      <w:r w:rsidR="006E6A9B" w:rsidRPr="0065554C">
        <w:rPr>
          <w:rFonts w:ascii="Calibri" w:hAnsi="Calibri"/>
          <w:b/>
          <w:bCs/>
          <w:shd w:val="clear" w:color="auto" w:fill="FFFFFF"/>
        </w:rPr>
        <w:t>0</w:t>
      </w:r>
      <w:r w:rsidR="00475270" w:rsidRPr="0065554C">
        <w:rPr>
          <w:rFonts w:ascii="Calibri" w:hAnsi="Calibri"/>
          <w:b/>
          <w:bCs/>
          <w:shd w:val="clear" w:color="auto" w:fill="FFFFFF"/>
        </w:rPr>
        <w:t xml:space="preserve"> </w:t>
      </w:r>
      <w:r w:rsidR="00475270" w:rsidRPr="0065554C">
        <w:rPr>
          <w:rFonts w:ascii="Calibri" w:hAnsi="Calibri"/>
          <w:bCs/>
          <w:shd w:val="clear" w:color="auto" w:fill="FFFFFF"/>
        </w:rPr>
        <w:t xml:space="preserve">y en el </w:t>
      </w:r>
      <w:r w:rsidR="00475270" w:rsidRPr="0065554C">
        <w:rPr>
          <w:rFonts w:ascii="Calibri" w:hAnsi="Calibri"/>
          <w:b/>
          <w:bCs/>
          <w:shd w:val="clear" w:color="auto" w:fill="FFFFFF"/>
        </w:rPr>
        <w:t>Anexo IV.3Bis</w:t>
      </w:r>
      <w:r w:rsidR="00F96652" w:rsidRPr="0065554C">
        <w:rPr>
          <w:rFonts w:ascii="Calibri" w:hAnsi="Calibri"/>
          <w:shd w:val="clear" w:color="auto" w:fill="FFFFFF"/>
        </w:rPr>
        <w:t>.</w:t>
      </w:r>
    </w:p>
    <w:p w14:paraId="68867711" w14:textId="77777777" w:rsidR="00F96652" w:rsidRPr="0065554C" w:rsidRDefault="00791C88" w:rsidP="0023501D">
      <w:pPr>
        <w:pStyle w:val="Numeral"/>
        <w:numPr>
          <w:ilvl w:val="0"/>
          <w:numId w:val="0"/>
        </w:numPr>
        <w:ind w:left="1844"/>
      </w:pPr>
      <w:r w:rsidRPr="0065554C">
        <w:t xml:space="preserve">Una vez cumplido con lo anterior, </w:t>
      </w:r>
      <w:r w:rsidR="00475270" w:rsidRPr="0065554C">
        <w:t>los</w:t>
      </w:r>
      <w:r w:rsidRPr="0065554C">
        <w:t xml:space="preserve"> Comprador</w:t>
      </w:r>
      <w:r w:rsidR="00475270" w:rsidRPr="0065554C">
        <w:t>es</w:t>
      </w:r>
      <w:r w:rsidRPr="0065554C">
        <w:t xml:space="preserve"> Potencial</w:t>
      </w:r>
      <w:r w:rsidR="008C4DE6" w:rsidRPr="0065554C">
        <w:t>es</w:t>
      </w:r>
      <w:r w:rsidRPr="0065554C">
        <w:t xml:space="preserve"> distinto</w:t>
      </w:r>
      <w:r w:rsidR="00475270" w:rsidRPr="0065554C">
        <w:t>s</w:t>
      </w:r>
      <w:r w:rsidRPr="0065554C">
        <w:t xml:space="preserve"> al Suministrador de Servicios Básicos </w:t>
      </w:r>
      <w:r w:rsidR="00475270" w:rsidRPr="0065554C">
        <w:t xml:space="preserve">y los Licitantes </w:t>
      </w:r>
      <w:r w:rsidRPr="0065554C">
        <w:t>podrá</w:t>
      </w:r>
      <w:r w:rsidR="00475270" w:rsidRPr="0065554C">
        <w:t>n</w:t>
      </w:r>
      <w:r w:rsidRPr="0065554C">
        <w:t xml:space="preserve"> </w:t>
      </w:r>
      <w:r w:rsidR="008C4DE6" w:rsidRPr="0065554C">
        <w:t>solicitar al</w:t>
      </w:r>
      <w:r w:rsidRPr="0065554C">
        <w:t xml:space="preserve"> CENACE</w:t>
      </w:r>
      <w:r w:rsidR="008C4DE6" w:rsidRPr="0065554C">
        <w:t>,</w:t>
      </w:r>
      <w:r w:rsidRPr="0065554C">
        <w:t xml:space="preserve"> copia simple del acuse de recibido por parte del Banco Emisor. Con relación a la conformidad de cancelación emitida por el CENACE, el Licitante o Comprador Potencial distinto al Suministrador de Servicios Básicos </w:t>
      </w:r>
      <w:r w:rsidR="00F96652" w:rsidRPr="0065554C">
        <w:t>confirmará</w:t>
      </w:r>
      <w:r w:rsidRPr="0065554C">
        <w:t xml:space="preserve"> la cancelación de la o las Cartas de Crédito presentadas directamente con el Banco Emisor habiendo transcurrido el plazo descrito en el párrafo anterior</w:t>
      </w:r>
      <w:r w:rsidR="00F51D8A" w:rsidRPr="0065554C">
        <w:t xml:space="preserve">. </w:t>
      </w:r>
    </w:p>
    <w:p w14:paraId="0992B300" w14:textId="77777777" w:rsidR="00F51D8A" w:rsidRPr="0065554C" w:rsidRDefault="00F51D8A" w:rsidP="0023501D">
      <w:pPr>
        <w:pStyle w:val="Numeral"/>
        <w:numPr>
          <w:ilvl w:val="0"/>
          <w:numId w:val="0"/>
        </w:numPr>
        <w:ind w:left="1844"/>
      </w:pPr>
      <w:r w:rsidRPr="0065554C">
        <w:t xml:space="preserve">Bajo ninguna circunstancia, incluidos el caso fortuito o fuerza mayor, el CENACE estará obligado a reembolsar los pagos que hayan efectuado los </w:t>
      </w:r>
      <w:r w:rsidR="005C229D" w:rsidRPr="0065554C">
        <w:t>I</w:t>
      </w:r>
      <w:r w:rsidRPr="0065554C">
        <w:t>nteresados, ni será responsable por los gastos en que cualquiera de ellos haya incurrido para participar en la Subasta.</w:t>
      </w:r>
    </w:p>
    <w:p w14:paraId="5BE9C916" w14:textId="77777777" w:rsidR="00160338" w:rsidRPr="0065554C" w:rsidRDefault="00160338" w:rsidP="00160338">
      <w:pPr>
        <w:pStyle w:val="Seccin"/>
      </w:pPr>
      <w:bookmarkStart w:id="190" w:name="_Toc436487859"/>
      <w:bookmarkStart w:id="191" w:name="_Toc436433763"/>
      <w:bookmarkStart w:id="192" w:name="_Toc450052177"/>
      <w:bookmarkStart w:id="193" w:name="_Toc312964147"/>
      <w:bookmarkStart w:id="194" w:name="_Toc450201419"/>
      <w:bookmarkStart w:id="195" w:name="_Toc450638582"/>
      <w:bookmarkStart w:id="196" w:name="_Toc479255721"/>
      <w:bookmarkStart w:id="197" w:name="_Toc454100240"/>
      <w:bookmarkStart w:id="198" w:name="_Toc479763763"/>
      <w:bookmarkStart w:id="199" w:name="_Toc509413009"/>
      <w:r w:rsidRPr="0065554C">
        <w:t>Cancelación o suspensión de la Subasta</w:t>
      </w:r>
      <w:bookmarkEnd w:id="190"/>
      <w:bookmarkEnd w:id="191"/>
      <w:bookmarkEnd w:id="192"/>
      <w:bookmarkEnd w:id="193"/>
      <w:bookmarkEnd w:id="194"/>
      <w:bookmarkEnd w:id="195"/>
      <w:bookmarkEnd w:id="196"/>
      <w:bookmarkEnd w:id="197"/>
      <w:bookmarkEnd w:id="198"/>
      <w:bookmarkEnd w:id="199"/>
    </w:p>
    <w:p w14:paraId="32D432C6" w14:textId="77777777" w:rsidR="00BE0043" w:rsidRPr="0065554C" w:rsidRDefault="00160338" w:rsidP="005E311D">
      <w:pPr>
        <w:pStyle w:val="Numeral"/>
      </w:pPr>
      <w:r w:rsidRPr="0065554C">
        <w:t>Se podrá cancelar o suspender la Subasta por caso fortuito o fuerza mayor, o cuando existan circunstancias debidamente justificadas</w:t>
      </w:r>
      <w:r w:rsidR="00BE0043" w:rsidRPr="0065554C">
        <w:t>.</w:t>
      </w:r>
      <w:r w:rsidRPr="0065554C">
        <w:t xml:space="preserve"> </w:t>
      </w:r>
    </w:p>
    <w:p w14:paraId="11ACB158" w14:textId="77777777" w:rsidR="00BE0043" w:rsidRPr="0065554C" w:rsidRDefault="00BE0043" w:rsidP="005E311D">
      <w:pPr>
        <w:pStyle w:val="Numeral"/>
      </w:pPr>
      <w:r w:rsidRPr="0065554C">
        <w:lastRenderedPageBreak/>
        <w:t xml:space="preserve">Si </w:t>
      </w:r>
      <w:r w:rsidR="00160338" w:rsidRPr="0065554C">
        <w:t>n</w:t>
      </w:r>
      <w:r w:rsidRPr="0065554C">
        <w:t xml:space="preserve">ingún </w:t>
      </w:r>
      <w:r w:rsidR="00EB0F2C" w:rsidRPr="0065554C">
        <w:t>Suministrador de Servicios Básicos</w:t>
      </w:r>
      <w:r w:rsidR="00160338" w:rsidRPr="0065554C">
        <w:t xml:space="preserve"> solicit</w:t>
      </w:r>
      <w:r w:rsidRPr="0065554C">
        <w:t>a</w:t>
      </w:r>
      <w:r w:rsidR="00160338" w:rsidRPr="0065554C">
        <w:t xml:space="preserve"> su registro como Comprador Potencial dentro del plazo señalado para ello en el Calendario de la Subasta o, habiéndolo solicitado, no presenta sus Ofertas de Compra dentro de los plazos establecidos</w:t>
      </w:r>
      <w:r w:rsidRPr="0065554C">
        <w:t>, la Subasta será cancelada</w:t>
      </w:r>
      <w:r w:rsidR="00047245" w:rsidRPr="0065554C">
        <w:t>.</w:t>
      </w:r>
    </w:p>
    <w:p w14:paraId="291C4786" w14:textId="77777777" w:rsidR="00160338" w:rsidRPr="0065554C" w:rsidRDefault="00160338" w:rsidP="005E311D">
      <w:pPr>
        <w:pStyle w:val="Numeral"/>
      </w:pPr>
      <w:r w:rsidRPr="0065554C">
        <w:t>La</w:t>
      </w:r>
      <w:r w:rsidRPr="0065554C">
        <w:rPr>
          <w:spacing w:val="2"/>
        </w:rPr>
        <w:t xml:space="preserve"> </w:t>
      </w:r>
      <w:r w:rsidRPr="0065554C">
        <w:t>d</w:t>
      </w:r>
      <w:r w:rsidRPr="0065554C">
        <w:rPr>
          <w:spacing w:val="-1"/>
        </w:rPr>
        <w:t>e</w:t>
      </w:r>
      <w:r w:rsidRPr="0065554C">
        <w:rPr>
          <w:spacing w:val="1"/>
        </w:rPr>
        <w:t>t</w:t>
      </w:r>
      <w:r w:rsidRPr="0065554C">
        <w:t>er</w:t>
      </w:r>
      <w:r w:rsidRPr="0065554C">
        <w:rPr>
          <w:spacing w:val="1"/>
        </w:rPr>
        <w:t>m</w:t>
      </w:r>
      <w:r w:rsidRPr="0065554C">
        <w:rPr>
          <w:spacing w:val="-1"/>
        </w:rPr>
        <w:t>i</w:t>
      </w:r>
      <w:r w:rsidRPr="0065554C">
        <w:t>n</w:t>
      </w:r>
      <w:r w:rsidRPr="0065554C">
        <w:rPr>
          <w:spacing w:val="-1"/>
        </w:rPr>
        <w:t>a</w:t>
      </w:r>
      <w:r w:rsidRPr="0065554C">
        <w:t>c</w:t>
      </w:r>
      <w:r w:rsidRPr="0065554C">
        <w:rPr>
          <w:spacing w:val="-1"/>
        </w:rPr>
        <w:t>i</w:t>
      </w:r>
      <w:r w:rsidRPr="0065554C">
        <w:t>ón de d</w:t>
      </w:r>
      <w:r w:rsidRPr="0065554C">
        <w:rPr>
          <w:spacing w:val="-1"/>
        </w:rPr>
        <w:t>a</w:t>
      </w:r>
      <w:r w:rsidRPr="0065554C">
        <w:t>r</w:t>
      </w:r>
      <w:r w:rsidRPr="0065554C">
        <w:rPr>
          <w:spacing w:val="1"/>
        </w:rPr>
        <w:t xml:space="preserve"> </w:t>
      </w:r>
      <w:r w:rsidRPr="0065554C">
        <w:t>p</w:t>
      </w:r>
      <w:r w:rsidRPr="0065554C">
        <w:rPr>
          <w:spacing w:val="-1"/>
        </w:rPr>
        <w:t>o</w:t>
      </w:r>
      <w:r w:rsidRPr="0065554C">
        <w:t>r</w:t>
      </w:r>
      <w:r w:rsidRPr="0065554C">
        <w:rPr>
          <w:spacing w:val="1"/>
        </w:rPr>
        <w:t xml:space="preserve"> </w:t>
      </w:r>
      <w:r w:rsidRPr="0065554C">
        <w:t>ca</w:t>
      </w:r>
      <w:r w:rsidRPr="0065554C">
        <w:rPr>
          <w:spacing w:val="-1"/>
        </w:rPr>
        <w:t>n</w:t>
      </w:r>
      <w:r w:rsidRPr="0065554C">
        <w:t>ce</w:t>
      </w:r>
      <w:r w:rsidRPr="0065554C">
        <w:rPr>
          <w:spacing w:val="-1"/>
        </w:rPr>
        <w:t>l</w:t>
      </w:r>
      <w:r w:rsidRPr="0065554C">
        <w:t>a</w:t>
      </w:r>
      <w:r w:rsidRPr="0065554C">
        <w:rPr>
          <w:spacing w:val="-1"/>
        </w:rPr>
        <w:t>d</w:t>
      </w:r>
      <w:r w:rsidRPr="0065554C">
        <w:t xml:space="preserve">a o suspendida </w:t>
      </w:r>
      <w:r w:rsidRPr="0065554C">
        <w:rPr>
          <w:rFonts w:eastAsia="Arial"/>
          <w:spacing w:val="-1"/>
        </w:rPr>
        <w:t>la</w:t>
      </w:r>
      <w:r w:rsidRPr="0065554C">
        <w:rPr>
          <w:spacing w:val="-1"/>
        </w:rPr>
        <w:t xml:space="preserve"> Subasta </w:t>
      </w:r>
      <w:r w:rsidRPr="0065554C">
        <w:t>se</w:t>
      </w:r>
      <w:r w:rsidRPr="0065554C">
        <w:rPr>
          <w:spacing w:val="2"/>
        </w:rPr>
        <w:t xml:space="preserve"> comunicará </w:t>
      </w:r>
      <w:r w:rsidRPr="0065554C">
        <w:t>a los Interesados</w:t>
      </w:r>
      <w:r w:rsidR="008E43F9" w:rsidRPr="0065554C">
        <w:t xml:space="preserve">, </w:t>
      </w:r>
      <w:r w:rsidRPr="0065554C">
        <w:t>a los Compradores Potenciales y a los Licitantes, según corresponda, a través del Sitio, y</w:t>
      </w:r>
      <w:r w:rsidR="00D27656" w:rsidRPr="0065554C">
        <w:t xml:space="preserve"> por escrito</w:t>
      </w:r>
      <w:r w:rsidR="000072EF" w:rsidRPr="0065554C">
        <w:rPr>
          <w:spacing w:val="3"/>
        </w:rPr>
        <w:t xml:space="preserve"> al</w:t>
      </w:r>
      <w:r w:rsidRPr="0065554C">
        <w:rPr>
          <w:spacing w:val="2"/>
        </w:rPr>
        <w:t xml:space="preserve"> Testigo Social, </w:t>
      </w:r>
      <w:r w:rsidRPr="0065554C">
        <w:t>d</w:t>
      </w:r>
      <w:r w:rsidRPr="0065554C">
        <w:rPr>
          <w:spacing w:val="-1"/>
        </w:rPr>
        <w:t>e</w:t>
      </w:r>
      <w:r w:rsidRPr="0065554C">
        <w:rPr>
          <w:spacing w:val="-3"/>
        </w:rPr>
        <w:t>n</w:t>
      </w:r>
      <w:r w:rsidRPr="0065554C">
        <w:rPr>
          <w:spacing w:val="1"/>
        </w:rPr>
        <w:t>tr</w:t>
      </w:r>
      <w:r w:rsidRPr="0065554C">
        <w:t>o de</w:t>
      </w:r>
      <w:r w:rsidRPr="0065554C">
        <w:rPr>
          <w:spacing w:val="5"/>
        </w:rPr>
        <w:t xml:space="preserve"> </w:t>
      </w:r>
      <w:r w:rsidRPr="0065554C">
        <w:rPr>
          <w:spacing w:val="-1"/>
        </w:rPr>
        <w:t>l</w:t>
      </w:r>
      <w:r w:rsidRPr="0065554C">
        <w:t>os</w:t>
      </w:r>
      <w:r w:rsidRPr="0065554C">
        <w:rPr>
          <w:spacing w:val="5"/>
        </w:rPr>
        <w:t xml:space="preserve"> </w:t>
      </w:r>
      <w:r w:rsidRPr="0065554C">
        <w:rPr>
          <w:rFonts w:eastAsia="Arial"/>
        </w:rPr>
        <w:t>d</w:t>
      </w:r>
      <w:r w:rsidRPr="0065554C">
        <w:rPr>
          <w:rFonts w:eastAsia="Arial"/>
          <w:spacing w:val="-1"/>
        </w:rPr>
        <w:t>i</w:t>
      </w:r>
      <w:r w:rsidRPr="0065554C">
        <w:rPr>
          <w:rFonts w:eastAsia="Arial"/>
        </w:rPr>
        <w:t>ez</w:t>
      </w:r>
      <w:r w:rsidRPr="0065554C">
        <w:rPr>
          <w:spacing w:val="2"/>
        </w:rPr>
        <w:t xml:space="preserve"> </w:t>
      </w:r>
      <w:r w:rsidRPr="0065554C">
        <w:t>d</w:t>
      </w:r>
      <w:r w:rsidRPr="0065554C">
        <w:rPr>
          <w:spacing w:val="-4"/>
        </w:rPr>
        <w:t>í</w:t>
      </w:r>
      <w:r w:rsidRPr="0065554C">
        <w:t>as</w:t>
      </w:r>
      <w:r w:rsidRPr="0065554C">
        <w:rPr>
          <w:spacing w:val="5"/>
        </w:rPr>
        <w:t xml:space="preserve"> </w:t>
      </w:r>
      <w:r w:rsidRPr="0065554C">
        <w:t>h</w:t>
      </w:r>
      <w:r w:rsidRPr="0065554C">
        <w:rPr>
          <w:spacing w:val="-1"/>
        </w:rPr>
        <w:t>á</w:t>
      </w:r>
      <w:r w:rsidRPr="0065554C">
        <w:t>b</w:t>
      </w:r>
      <w:r w:rsidRPr="0065554C">
        <w:rPr>
          <w:spacing w:val="-1"/>
        </w:rPr>
        <w:t>il</w:t>
      </w:r>
      <w:r w:rsidRPr="0065554C">
        <w:rPr>
          <w:spacing w:val="2"/>
        </w:rPr>
        <w:t>e</w:t>
      </w:r>
      <w:r w:rsidRPr="0065554C">
        <w:t>s</w:t>
      </w:r>
      <w:r w:rsidRPr="0065554C">
        <w:rPr>
          <w:spacing w:val="5"/>
        </w:rPr>
        <w:t xml:space="preserve"> </w:t>
      </w:r>
      <w:r w:rsidRPr="0065554C">
        <w:t>s</w:t>
      </w:r>
      <w:r w:rsidRPr="0065554C">
        <w:rPr>
          <w:spacing w:val="-1"/>
        </w:rPr>
        <w:t>i</w:t>
      </w:r>
      <w:r w:rsidRPr="0065554C">
        <w:rPr>
          <w:spacing w:val="2"/>
        </w:rPr>
        <w:t>g</w:t>
      </w:r>
      <w:r w:rsidRPr="0065554C">
        <w:t>u</w:t>
      </w:r>
      <w:r w:rsidRPr="0065554C">
        <w:rPr>
          <w:spacing w:val="-1"/>
        </w:rPr>
        <w:t>i</w:t>
      </w:r>
      <w:r w:rsidRPr="0065554C">
        <w:t>e</w:t>
      </w:r>
      <w:r w:rsidRPr="0065554C">
        <w:rPr>
          <w:spacing w:val="-3"/>
        </w:rPr>
        <w:t>n</w:t>
      </w:r>
      <w:r w:rsidRPr="0065554C">
        <w:rPr>
          <w:spacing w:val="1"/>
        </w:rPr>
        <w:t>t</w:t>
      </w:r>
      <w:r w:rsidRPr="0065554C">
        <w:t>es</w:t>
      </w:r>
      <w:r w:rsidRPr="0065554C">
        <w:rPr>
          <w:spacing w:val="5"/>
        </w:rPr>
        <w:t xml:space="preserve"> </w:t>
      </w:r>
      <w:r w:rsidRPr="0065554C">
        <w:t>a</w:t>
      </w:r>
      <w:r w:rsidRPr="0065554C">
        <w:rPr>
          <w:spacing w:val="2"/>
        </w:rPr>
        <w:t xml:space="preserve"> </w:t>
      </w:r>
      <w:r w:rsidRPr="0065554C">
        <w:rPr>
          <w:spacing w:val="-1"/>
        </w:rPr>
        <w:t>l</w:t>
      </w:r>
      <w:r w:rsidRPr="0065554C">
        <w:t>a cancelación o suspensión</w:t>
      </w:r>
      <w:r w:rsidRPr="0065554C">
        <w:rPr>
          <w:rFonts w:eastAsia="Arial"/>
        </w:rPr>
        <w:t>.</w:t>
      </w:r>
      <w:r w:rsidRPr="0065554C">
        <w:t xml:space="preserve"> Dicha determinación deberá incluir los siguientes datos:</w:t>
      </w:r>
    </w:p>
    <w:p w14:paraId="3CF0AF41" w14:textId="77777777" w:rsidR="00160338" w:rsidRPr="0065554C" w:rsidRDefault="00160338" w:rsidP="005E311D">
      <w:pPr>
        <w:pStyle w:val="Inciso"/>
      </w:pPr>
      <w:r w:rsidRPr="0065554C">
        <w:t>El acontecimiento que motiva la decisión.</w:t>
      </w:r>
    </w:p>
    <w:p w14:paraId="788026B4" w14:textId="77777777" w:rsidR="00160338" w:rsidRPr="0065554C" w:rsidRDefault="00160338" w:rsidP="005E311D">
      <w:pPr>
        <w:pStyle w:val="Inciso"/>
      </w:pPr>
      <w:r w:rsidRPr="0065554C">
        <w:t>La fecha de emisión del acto.</w:t>
      </w:r>
    </w:p>
    <w:p w14:paraId="6759BC47" w14:textId="77777777" w:rsidR="00160338" w:rsidRPr="0065554C" w:rsidRDefault="00160338" w:rsidP="005E311D">
      <w:pPr>
        <w:pStyle w:val="Inciso"/>
      </w:pPr>
      <w:r w:rsidRPr="0065554C">
        <w:t>Los datos de identificación de la unidad administrativa emisora del acto.</w:t>
      </w:r>
    </w:p>
    <w:p w14:paraId="7898D76A" w14:textId="77777777" w:rsidR="00160338" w:rsidRPr="0065554C" w:rsidRDefault="00160338" w:rsidP="005E311D">
      <w:pPr>
        <w:pStyle w:val="Inciso"/>
      </w:pPr>
      <w:r w:rsidRPr="0065554C">
        <w:t>La firma autógrafa del servidor público emisor del acto.</w:t>
      </w:r>
    </w:p>
    <w:p w14:paraId="1A8D05BB" w14:textId="77777777" w:rsidR="00160338" w:rsidRPr="0065554C" w:rsidRDefault="00160338" w:rsidP="005E311D">
      <w:pPr>
        <w:pStyle w:val="Inciso"/>
      </w:pPr>
      <w:r w:rsidRPr="0065554C">
        <w:t>Para el caso de suspensión, el periodo máximo que tendrá la misma, que no podrá ser mayor a sesenta días, ya que ello sería motivo de cancelación de la Subasta. Asimismo, deben señalarse las condiciones de reanudación de la Subasta una vez que desaparezcan las causas que motivaron la suspensión, lo que puede incluir la determinación de aplicar solo aquellas disposiciones de las Bases de Licitación que no consideren la existencia de una Cámara de Compensación y sustitución de los modelos de Contratos de Cobertura Eléctrica.</w:t>
      </w:r>
    </w:p>
    <w:p w14:paraId="2F21931A" w14:textId="77777777" w:rsidR="00160338" w:rsidRPr="0065554C" w:rsidRDefault="00160338" w:rsidP="005E311D">
      <w:pPr>
        <w:pStyle w:val="Inciso"/>
      </w:pPr>
      <w:r w:rsidRPr="0065554C">
        <w:t>Para el caso de cancelación, la fecha en que tendrá lugar la siguiente Subasta, en caso de conocerse.</w:t>
      </w:r>
    </w:p>
    <w:p w14:paraId="361520D1" w14:textId="77777777" w:rsidR="00F51D8A" w:rsidRPr="0065554C" w:rsidRDefault="00F51D8A" w:rsidP="00F51D8A">
      <w:pPr>
        <w:pStyle w:val="Numeral"/>
      </w:pPr>
      <w:r w:rsidRPr="0065554C">
        <w:t xml:space="preserve">En un plazo que no excederá de </w:t>
      </w:r>
      <w:r w:rsidR="001546C6" w:rsidRPr="0065554C">
        <w:t xml:space="preserve">diez </w:t>
      </w:r>
      <w:r w:rsidRPr="0065554C">
        <w:t>días hábiles siguientes a la declaración de cancelación de la Subasta, el CENACE r</w:t>
      </w:r>
      <w:r w:rsidRPr="0065554C">
        <w:rPr>
          <w:rFonts w:ascii="Calibri" w:hAnsi="Calibri"/>
          <w:shd w:val="clear" w:color="auto" w:fill="FFFFFF"/>
        </w:rPr>
        <w:t xml:space="preserve">emitirá su conformidad de cancelación de la carta de crédito a la Institución Financiera que la haya emitido, mediante el </w:t>
      </w:r>
      <w:r w:rsidRPr="0065554C">
        <w:rPr>
          <w:rFonts w:ascii="Calibri" w:hAnsi="Calibri"/>
          <w:b/>
          <w:shd w:val="clear" w:color="auto" w:fill="FFFFFF"/>
        </w:rPr>
        <w:t>Anexo D</w:t>
      </w:r>
      <w:r w:rsidRPr="0065554C">
        <w:rPr>
          <w:rFonts w:ascii="Calibri" w:hAnsi="Calibri"/>
          <w:shd w:val="clear" w:color="auto" w:fill="FFFFFF"/>
        </w:rPr>
        <w:t xml:space="preserve"> </w:t>
      </w:r>
      <w:r w:rsidR="00F96652" w:rsidRPr="0065554C">
        <w:rPr>
          <w:rFonts w:ascii="Calibri" w:hAnsi="Calibri"/>
          <w:shd w:val="clear" w:color="auto" w:fill="FFFFFF"/>
        </w:rPr>
        <w:t>denominado “F</w:t>
      </w:r>
      <w:r w:rsidR="001546C6" w:rsidRPr="0065554C">
        <w:rPr>
          <w:rFonts w:ascii="Calibri" w:hAnsi="Calibri"/>
          <w:shd w:val="clear" w:color="auto" w:fill="FFFFFF"/>
        </w:rPr>
        <w:t>ormato de conformidad de cancelación de la carta de crédito standby irrevocable</w:t>
      </w:r>
      <w:r w:rsidR="00F96652" w:rsidRPr="0065554C">
        <w:rPr>
          <w:rFonts w:ascii="Calibri" w:hAnsi="Calibri"/>
          <w:shd w:val="clear" w:color="auto" w:fill="FFFFFF"/>
        </w:rPr>
        <w:t xml:space="preserve">” incluido en los </w:t>
      </w:r>
      <w:r w:rsidR="00F96652" w:rsidRPr="0065554C">
        <w:rPr>
          <w:rStyle w:val="apple-converted-space"/>
          <w:rFonts w:ascii="Calibri" w:hAnsi="Calibri"/>
          <w:b/>
          <w:shd w:val="clear" w:color="auto" w:fill="FFFFFF"/>
        </w:rPr>
        <w:t>Anexos</w:t>
      </w:r>
      <w:r w:rsidRPr="0065554C">
        <w:rPr>
          <w:rFonts w:ascii="Calibri" w:hAnsi="Calibri"/>
          <w:b/>
          <w:bCs/>
          <w:shd w:val="clear" w:color="auto" w:fill="FFFFFF"/>
        </w:rPr>
        <w:t xml:space="preserve"> </w:t>
      </w:r>
      <w:r w:rsidR="00F96652" w:rsidRPr="0065554C">
        <w:rPr>
          <w:rFonts w:ascii="Calibri" w:hAnsi="Calibri"/>
          <w:b/>
          <w:bCs/>
          <w:shd w:val="clear" w:color="auto" w:fill="FFFFFF"/>
        </w:rPr>
        <w:t xml:space="preserve">IV.3Bis y </w:t>
      </w:r>
      <w:r w:rsidRPr="0065554C">
        <w:rPr>
          <w:rFonts w:ascii="Calibri" w:hAnsi="Calibri"/>
          <w:b/>
          <w:bCs/>
          <w:shd w:val="clear" w:color="auto" w:fill="FFFFFF"/>
        </w:rPr>
        <w:t>V.2</w:t>
      </w:r>
      <w:r w:rsidR="006E6A9B" w:rsidRPr="0065554C">
        <w:rPr>
          <w:rFonts w:ascii="Calibri" w:hAnsi="Calibri"/>
          <w:b/>
          <w:bCs/>
          <w:shd w:val="clear" w:color="auto" w:fill="FFFFFF"/>
        </w:rPr>
        <w:t>0</w:t>
      </w:r>
      <w:r w:rsidR="00F96652" w:rsidRPr="0065554C">
        <w:rPr>
          <w:rFonts w:ascii="Calibri" w:hAnsi="Calibri"/>
          <w:shd w:val="clear" w:color="auto" w:fill="FFFFFF"/>
        </w:rPr>
        <w:t xml:space="preserve"> según corresponda</w:t>
      </w:r>
      <w:r w:rsidRPr="0065554C">
        <w:rPr>
          <w:rFonts w:ascii="Calibri" w:hAnsi="Calibri"/>
          <w:shd w:val="clear" w:color="auto" w:fill="FFFFFF"/>
        </w:rPr>
        <w:t xml:space="preserve">. </w:t>
      </w:r>
    </w:p>
    <w:p w14:paraId="6398B9A1" w14:textId="77777777" w:rsidR="00F96652" w:rsidRPr="0065554C" w:rsidRDefault="00F51D8A" w:rsidP="00EB1256">
      <w:pPr>
        <w:pStyle w:val="Numeral"/>
        <w:numPr>
          <w:ilvl w:val="0"/>
          <w:numId w:val="0"/>
        </w:numPr>
        <w:ind w:left="1844"/>
      </w:pPr>
      <w:r w:rsidRPr="0065554C">
        <w:t xml:space="preserve">Una vez cumplido con lo anterior y con posterioridad al plazo referido, el Licitante </w:t>
      </w:r>
      <w:r w:rsidR="009C1A78" w:rsidRPr="0065554C">
        <w:t xml:space="preserve">y el </w:t>
      </w:r>
      <w:r w:rsidRPr="0065554C">
        <w:t xml:space="preserve"> Comprador Potencial distinto al Suministrador de Servicios Básicos </w:t>
      </w:r>
      <w:r w:rsidR="008769FB" w:rsidRPr="0065554C">
        <w:t>podrá</w:t>
      </w:r>
      <w:r w:rsidR="009C1A78" w:rsidRPr="0065554C">
        <w:t>n</w:t>
      </w:r>
      <w:r w:rsidR="008769FB" w:rsidRPr="0065554C">
        <w:t xml:space="preserve"> recibir </w:t>
      </w:r>
      <w:r w:rsidRPr="0065554C">
        <w:t xml:space="preserve">por parte del CENACE copia simple del acuse de recibido por parte del Banco Emisor. Con relación a la conformidad de cancelación emitida por el CENACE, el Licitante o Comprador Potencial distinto al Suministrador de Servicios Básicos </w:t>
      </w:r>
      <w:r w:rsidR="00F96652" w:rsidRPr="0065554C">
        <w:t>confirmará</w:t>
      </w:r>
      <w:r w:rsidRPr="0065554C">
        <w:t xml:space="preserve"> </w:t>
      </w:r>
      <w:r w:rsidR="00A308B6" w:rsidRPr="0065554C">
        <w:t xml:space="preserve">la cancelación de la o las Cartas de crédito presentadas </w:t>
      </w:r>
      <w:r w:rsidRPr="0065554C">
        <w:t xml:space="preserve">directamente con el Banco Emisor habiendo transcurrido el plazo descrito en el párrafo anterior. </w:t>
      </w:r>
    </w:p>
    <w:p w14:paraId="75164F2B" w14:textId="77777777" w:rsidR="00F51D8A" w:rsidRPr="0065554C" w:rsidRDefault="00F51D8A" w:rsidP="00EB1256">
      <w:pPr>
        <w:pStyle w:val="Numeral"/>
        <w:numPr>
          <w:ilvl w:val="0"/>
          <w:numId w:val="0"/>
        </w:numPr>
        <w:ind w:left="1844"/>
      </w:pPr>
      <w:r w:rsidRPr="0065554C">
        <w:t xml:space="preserve">Bajo ninguna circunstancia, incluidos el caso fortuito o fuerza mayor, el CENACE estará obligado a reembolsar los pagos que hayan efectuado los </w:t>
      </w:r>
      <w:r w:rsidR="00D76082" w:rsidRPr="0065554C">
        <w:t>I</w:t>
      </w:r>
      <w:r w:rsidRPr="0065554C">
        <w:t>nteresados, ni será responsable por los gastos en que cualquiera de ellos haya incurrido para participar en la Subasta.</w:t>
      </w:r>
    </w:p>
    <w:p w14:paraId="73E82439" w14:textId="77777777" w:rsidR="00F51D8A" w:rsidRPr="0065554C" w:rsidRDefault="009B6A00" w:rsidP="00EB1256">
      <w:pPr>
        <w:pStyle w:val="Numeral"/>
        <w:numPr>
          <w:ilvl w:val="0"/>
          <w:numId w:val="0"/>
        </w:numPr>
        <w:ind w:left="1844"/>
      </w:pPr>
      <w:r w:rsidRPr="0065554C">
        <w:t xml:space="preserve">Para el caso de suspensión, no habrá cancelación automática de la Garantía de Seriedad antes de que termine el plazo máximo de suspensión a que hace referencia el numeral </w:t>
      </w:r>
      <w:r w:rsidRPr="0065554C">
        <w:lastRenderedPageBreak/>
        <w:t xml:space="preserve">3.11.3(e). Sin embargo, cualquier Licitante podrá manifestar por escrito su intención de retirar sus Ofertas de Venta y en ese mismo acto solicitará al CENACE que remita su conformidad de cancelación de la carta o cartas de crédito a las Instituciones Financieras que las hayan emitido, mediante el </w:t>
      </w:r>
      <w:r w:rsidRPr="0065554C">
        <w:rPr>
          <w:b/>
        </w:rPr>
        <w:t>Anexo D</w:t>
      </w:r>
      <w:r w:rsidRPr="0065554C">
        <w:t xml:space="preserve"> denominado “F</w:t>
      </w:r>
      <w:r w:rsidR="001546C6" w:rsidRPr="0065554C">
        <w:t>ormato de conformidad de cancelación de la carta de crédito standby irrevocable</w:t>
      </w:r>
      <w:r w:rsidRPr="0065554C">
        <w:t>” incluido en el </w:t>
      </w:r>
      <w:r w:rsidRPr="0065554C">
        <w:rPr>
          <w:b/>
        </w:rPr>
        <w:t>Anexo V.20</w:t>
      </w:r>
      <w:r w:rsidRPr="0065554C">
        <w:t>. Esta cancelación se realizará dentro de los diez días hábiles contados a partir del día hábil siguiente a la fecha de presentación del escrito de solicitud.</w:t>
      </w:r>
    </w:p>
    <w:p w14:paraId="2BC2856F" w14:textId="77777777" w:rsidR="00903C2A" w:rsidRPr="0065554C" w:rsidRDefault="00160338" w:rsidP="005E311D">
      <w:pPr>
        <w:pStyle w:val="Numeral"/>
      </w:pPr>
      <w:r w:rsidRPr="0065554C">
        <w:t>El CENACE no incurrirá en responsabilidad alguna por la cancelación o suspensión de la Subasta, ni estará obligado a reembolsar los pagos que hubieran efectuado los Interesados, los Compradores Potenciales o los Licitantes, según corresponda, ni será responsable por los gastos en que cualquiera de ellos hubiera incurrido para participar en la Subasta</w:t>
      </w:r>
      <w:r w:rsidR="0049413C" w:rsidRPr="0065554C">
        <w:t>, incluidos el caso fortuito o fuerza mayor.</w:t>
      </w:r>
    </w:p>
    <w:p w14:paraId="6085CE5C" w14:textId="77777777" w:rsidR="00160338" w:rsidRPr="0065554C" w:rsidRDefault="00160338" w:rsidP="00160338">
      <w:pPr>
        <w:pStyle w:val="Seccin"/>
        <w:rPr>
          <w:rStyle w:val="Base11Car"/>
          <w:rFonts w:asciiTheme="minorHAnsi" w:hAnsiTheme="minorHAnsi"/>
          <w:sz w:val="28"/>
        </w:rPr>
      </w:pPr>
      <w:bookmarkStart w:id="200" w:name="_Toc479255722"/>
      <w:bookmarkStart w:id="201" w:name="_Toc454100241"/>
      <w:bookmarkStart w:id="202" w:name="_Toc479763764"/>
      <w:bookmarkStart w:id="203" w:name="_Toc509413010"/>
      <w:r w:rsidRPr="0065554C">
        <w:t>Mesa de ayuda</w:t>
      </w:r>
      <w:bookmarkEnd w:id="200"/>
      <w:bookmarkEnd w:id="201"/>
      <w:bookmarkEnd w:id="202"/>
      <w:bookmarkEnd w:id="203"/>
    </w:p>
    <w:p w14:paraId="084A93DD" w14:textId="77777777" w:rsidR="00160338" w:rsidRPr="0065554C" w:rsidRDefault="00160338" w:rsidP="005E311D">
      <w:pPr>
        <w:pStyle w:val="Numeral"/>
      </w:pPr>
      <w:r w:rsidRPr="0065554C">
        <w:t xml:space="preserve">La mesa de ayuda tiene por objeto brindar orientación de temas relacionados con la Subasta mediante el procedimiento que para tal efecto se establece en el instructivo que se presenta en el </w:t>
      </w:r>
      <w:r w:rsidRPr="0065554C">
        <w:rPr>
          <w:rFonts w:ascii="Calibri" w:hAnsi="Calibri"/>
          <w:b/>
        </w:rPr>
        <w:t xml:space="preserve">Anexo </w:t>
      </w:r>
      <w:r w:rsidRPr="0065554C">
        <w:rPr>
          <w:b/>
        </w:rPr>
        <w:t>III.6</w:t>
      </w:r>
      <w:r w:rsidRPr="0065554C">
        <w:t>.</w:t>
      </w:r>
    </w:p>
    <w:p w14:paraId="3017431A" w14:textId="77777777" w:rsidR="0007728D" w:rsidRPr="0065554C" w:rsidRDefault="0007728D" w:rsidP="0007728D">
      <w:pPr>
        <w:pStyle w:val="Numeral"/>
      </w:pPr>
      <w:r w:rsidRPr="0065554C">
        <w:t xml:space="preserve">La mesa de ayuda </w:t>
      </w:r>
      <w:r w:rsidR="0096226B" w:rsidRPr="0065554C">
        <w:t xml:space="preserve">electrónica </w:t>
      </w:r>
      <w:r w:rsidRPr="0065554C">
        <w:t>estará en funcionamiento durante los tiempos que se establezcan en el calendario de la subasta</w:t>
      </w:r>
      <w:r w:rsidR="006E6A9B" w:rsidRPr="0065554C">
        <w:t xml:space="preserve"> y el </w:t>
      </w:r>
      <w:r w:rsidR="006E6A9B" w:rsidRPr="0065554C">
        <w:rPr>
          <w:b/>
        </w:rPr>
        <w:t>Anexo III.6</w:t>
      </w:r>
      <w:r w:rsidRPr="0065554C">
        <w:t>, conforme a los temas relacionados, no se contestarán preguntas que estén fuera de</w:t>
      </w:r>
      <w:r w:rsidR="006E6A9B" w:rsidRPr="0065554C">
        <w:t xml:space="preserve"> los tiempos establecidos y de</w:t>
      </w:r>
      <w:r w:rsidRPr="0065554C">
        <w:t xml:space="preserve"> los tópicos relacionados.</w:t>
      </w:r>
    </w:p>
    <w:p w14:paraId="077610AB" w14:textId="77777777" w:rsidR="00160338" w:rsidRPr="0065554C" w:rsidRDefault="00160338" w:rsidP="005E311D">
      <w:pPr>
        <w:pStyle w:val="Numeral"/>
      </w:pPr>
      <w:r w:rsidRPr="0065554C">
        <w:t>Las respuestas que se generen con motivo de la mesa de ayuda tendrán un carácter meramente informativo y de orientación, por lo que no implican ninguna responsabilidad en relación con sus contenidos, y en ningún caso el CENACE podrá ser considerado responsable frente a terceras personas por el uso o las decisiones que se tomen con base en dichas respuestas.</w:t>
      </w:r>
    </w:p>
    <w:p w14:paraId="576A29E4" w14:textId="77777777" w:rsidR="00160338" w:rsidRPr="0065554C" w:rsidRDefault="00160338" w:rsidP="005E311D">
      <w:pPr>
        <w:pStyle w:val="Numeral"/>
      </w:pPr>
      <w:r w:rsidRPr="0065554C">
        <w:t xml:space="preserve">Únicamente se brindará la orientación respecto de los temas y en las fechas que para tal efecto se establezca en el instructivo que se presenta en el </w:t>
      </w:r>
      <w:r w:rsidRPr="0065554C">
        <w:rPr>
          <w:rFonts w:ascii="Calibri" w:hAnsi="Calibri"/>
          <w:b/>
        </w:rPr>
        <w:t xml:space="preserve">Anexo </w:t>
      </w:r>
      <w:r w:rsidRPr="0065554C">
        <w:rPr>
          <w:b/>
        </w:rPr>
        <w:t>III.6</w:t>
      </w:r>
      <w:r w:rsidRPr="0065554C">
        <w:t>.</w:t>
      </w:r>
    </w:p>
    <w:p w14:paraId="1ED5EB65" w14:textId="77777777" w:rsidR="00160338" w:rsidRPr="0065554C" w:rsidRDefault="00160338" w:rsidP="005E311D">
      <w:pPr>
        <w:pStyle w:val="Numeral"/>
      </w:pPr>
      <w:r w:rsidRPr="0065554C">
        <w:t>Sin perjuicio de lo anterior, la mesa de ayuda brindará orientación a los Licitantes o Compradores Potenciales sobre temas relacionados con la Garantía de Seriedad</w:t>
      </w:r>
      <w:r w:rsidR="008E43F9" w:rsidRPr="0065554C">
        <w:t>, solamente</w:t>
      </w:r>
      <w:r w:rsidRPr="0065554C">
        <w:t xml:space="preserve"> a partir de la fecha del Calendario en la cual haya concluido la presentación de las Ofertas de Venta o la fecha de presentación de las Ofertas de Compra, respectivamente.</w:t>
      </w:r>
    </w:p>
    <w:p w14:paraId="0FB433D2" w14:textId="77777777" w:rsidR="0096226B" w:rsidRPr="0065554C" w:rsidRDefault="0096226B" w:rsidP="005E311D">
      <w:pPr>
        <w:pStyle w:val="Numeral"/>
      </w:pPr>
      <w:r w:rsidRPr="0065554C">
        <w:t>La mesa de ayuda electrónica se atenderá únicamente por el S</w:t>
      </w:r>
      <w:r w:rsidR="004D0FAC" w:rsidRPr="0065554C">
        <w:t xml:space="preserve">AS, no se </w:t>
      </w:r>
      <w:r w:rsidR="0003783F" w:rsidRPr="0065554C">
        <w:t>brindará</w:t>
      </w:r>
      <w:r w:rsidR="004D0FAC" w:rsidRPr="0065554C">
        <w:t xml:space="preserve"> orientación por cualquier otro medio de comunicación.</w:t>
      </w:r>
    </w:p>
    <w:p w14:paraId="0F34C6A0" w14:textId="77777777" w:rsidR="00160338" w:rsidRPr="0065554C" w:rsidRDefault="00160338" w:rsidP="005E311D">
      <w:pPr>
        <w:pStyle w:val="Numeral"/>
        <w:numPr>
          <w:ilvl w:val="0"/>
          <w:numId w:val="0"/>
        </w:numPr>
        <w:ind w:left="851"/>
      </w:pPr>
    </w:p>
    <w:p w14:paraId="76B4989A" w14:textId="77777777" w:rsidR="00160338" w:rsidRPr="0065554C" w:rsidRDefault="00160338" w:rsidP="00361661">
      <w:pPr>
        <w:pStyle w:val="Captulo"/>
      </w:pPr>
      <w:bookmarkStart w:id="204" w:name="_Toc436433764"/>
      <w:r w:rsidRPr="0065554C">
        <w:lastRenderedPageBreak/>
        <w:br/>
      </w:r>
      <w:bookmarkStart w:id="205" w:name="_Toc436487860"/>
      <w:bookmarkStart w:id="206" w:name="_Toc450052178"/>
      <w:bookmarkStart w:id="207" w:name="_Toc312964148"/>
      <w:bookmarkStart w:id="208" w:name="_Toc450201420"/>
      <w:bookmarkStart w:id="209" w:name="_Toc450638583"/>
      <w:bookmarkStart w:id="210" w:name="_Toc479255723"/>
      <w:bookmarkStart w:id="211" w:name="_Toc479763767"/>
      <w:bookmarkStart w:id="212" w:name="_Toc509413011"/>
      <w:r w:rsidRPr="0065554C">
        <w:t>Ofertas de Compra</w:t>
      </w:r>
      <w:bookmarkEnd w:id="204"/>
      <w:bookmarkEnd w:id="205"/>
      <w:bookmarkEnd w:id="206"/>
      <w:bookmarkEnd w:id="207"/>
      <w:bookmarkEnd w:id="208"/>
      <w:bookmarkEnd w:id="209"/>
      <w:bookmarkEnd w:id="210"/>
      <w:bookmarkEnd w:id="211"/>
      <w:bookmarkEnd w:id="212"/>
    </w:p>
    <w:p w14:paraId="094F39CB" w14:textId="77777777" w:rsidR="00160338" w:rsidRPr="0065554C" w:rsidRDefault="00160338" w:rsidP="00D42E95">
      <w:pPr>
        <w:pStyle w:val="Seccin"/>
        <w:numPr>
          <w:ilvl w:val="1"/>
          <w:numId w:val="12"/>
        </w:numPr>
      </w:pPr>
      <w:bookmarkStart w:id="213" w:name="_Toc436487861"/>
      <w:bookmarkStart w:id="214" w:name="_Toc436433765"/>
      <w:bookmarkStart w:id="215" w:name="_Toc450052179"/>
      <w:bookmarkStart w:id="216" w:name="_Toc312964149"/>
      <w:bookmarkStart w:id="217" w:name="_Toc450201421"/>
      <w:bookmarkStart w:id="218" w:name="_Toc450638584"/>
      <w:bookmarkStart w:id="219" w:name="_Toc479255724"/>
      <w:bookmarkStart w:id="220" w:name="_Toc479763768"/>
      <w:bookmarkStart w:id="221" w:name="_Toc509413012"/>
      <w:r w:rsidRPr="0065554C">
        <w:t>Disposiciones Generales</w:t>
      </w:r>
      <w:bookmarkEnd w:id="213"/>
      <w:bookmarkEnd w:id="214"/>
      <w:bookmarkEnd w:id="215"/>
      <w:bookmarkEnd w:id="216"/>
      <w:bookmarkEnd w:id="217"/>
      <w:bookmarkEnd w:id="218"/>
      <w:bookmarkEnd w:id="219"/>
      <w:bookmarkEnd w:id="220"/>
      <w:bookmarkEnd w:id="221"/>
    </w:p>
    <w:p w14:paraId="3F68DF50" w14:textId="77777777" w:rsidR="00160338" w:rsidRPr="0065554C" w:rsidRDefault="00160338" w:rsidP="005E311D">
      <w:pPr>
        <w:pStyle w:val="Numeral"/>
      </w:pPr>
      <w:r w:rsidRPr="0065554C">
        <w:t>Las cantidades de los Productos que serán objeto de la Subasta, así como los precios máximos que estará dispuesto a pagar el Suministrador de Servicios Básicos y en su caso las Entidades Responsables de Carga y los parámetros correspondientes, se definirán a partir de la Oferta de Compra presentada por el Suministrador de Servicios Básicos, en su caso las Ofertas de Compra de las Entidades Responsables de Carga actuando como Compradores Potenciales y tomando en cuenta, en su caso, los ajustes que el propio CENACE realice a esas Ofertas de Compra de conformidad con lo previsto en el numeral 5.5.2(e) del Manual de Subastas de Largo Plazo y, en su caso, los precios máximos que determine la CRE en los términos del numeral 5.5.2(d) de ese mismo manual.</w:t>
      </w:r>
    </w:p>
    <w:p w14:paraId="354BCD3D" w14:textId="77777777" w:rsidR="00160338" w:rsidRPr="0065554C" w:rsidRDefault="00160338" w:rsidP="005E311D">
      <w:pPr>
        <w:pStyle w:val="Numeral"/>
      </w:pPr>
      <w:r w:rsidRPr="0065554C">
        <w:t xml:space="preserve">Con base en las Ofertas de Compra aceptadas por el CENACE y los ajustes que deban realizarse en los términos del Manual de Subastas de Largo Plazo y las Bases de Licitación, el CENACE calculará la cantidad, el precio y los parámetros de las Ofertas de Compra Aceptadas y los notificará a todos los Interesados a través del Sitio, en la fecha prevista para ello en el Calendario de la Subasta. </w:t>
      </w:r>
    </w:p>
    <w:p w14:paraId="380D7A72" w14:textId="77777777" w:rsidR="00160338" w:rsidRPr="0065554C" w:rsidRDefault="00160338" w:rsidP="00160338">
      <w:pPr>
        <w:pStyle w:val="Seccin"/>
      </w:pPr>
      <w:bookmarkStart w:id="222" w:name="_Toc454100244"/>
      <w:bookmarkStart w:id="223" w:name="_Toc436487862"/>
      <w:bookmarkStart w:id="224" w:name="_Toc436433766"/>
      <w:bookmarkStart w:id="225" w:name="_Toc450638585"/>
      <w:bookmarkStart w:id="226" w:name="_Toc479255725"/>
      <w:bookmarkStart w:id="227" w:name="_Toc479763769"/>
      <w:bookmarkStart w:id="228" w:name="_Toc509413013"/>
      <w:r w:rsidRPr="0065554C">
        <w:t xml:space="preserve">Registro </w:t>
      </w:r>
      <w:bookmarkEnd w:id="222"/>
      <w:r w:rsidRPr="0065554C">
        <w:t>de Compradores Potencial</w:t>
      </w:r>
      <w:bookmarkEnd w:id="223"/>
      <w:bookmarkEnd w:id="224"/>
      <w:bookmarkEnd w:id="225"/>
      <w:r w:rsidRPr="0065554C">
        <w:t>es</w:t>
      </w:r>
      <w:bookmarkEnd w:id="226"/>
      <w:bookmarkEnd w:id="227"/>
      <w:bookmarkEnd w:id="228"/>
    </w:p>
    <w:p w14:paraId="781F46B8" w14:textId="77777777" w:rsidR="00160338" w:rsidRPr="0065554C" w:rsidRDefault="00160338" w:rsidP="005E311D">
      <w:pPr>
        <w:pStyle w:val="Numeral"/>
      </w:pPr>
      <w:bookmarkStart w:id="229" w:name="_Toc450052180"/>
      <w:bookmarkStart w:id="230" w:name="_Toc312964150"/>
      <w:bookmarkStart w:id="231" w:name="_Toc450201422"/>
      <w:r w:rsidRPr="0065554C">
        <w:t>El Suministrador de Servicios Básicos y las Entidades Responsables de Carga podrán ser registrados por el CENACE como Compradores Potenciales.</w:t>
      </w:r>
      <w:bookmarkEnd w:id="229"/>
      <w:bookmarkEnd w:id="230"/>
      <w:bookmarkEnd w:id="231"/>
      <w:r w:rsidRPr="0065554C">
        <w:t xml:space="preserve"> </w:t>
      </w:r>
    </w:p>
    <w:p w14:paraId="62E902D8" w14:textId="77777777" w:rsidR="00160338" w:rsidRPr="0065554C" w:rsidRDefault="00160338" w:rsidP="005E311D">
      <w:pPr>
        <w:pStyle w:val="Numeral"/>
      </w:pPr>
      <w:r w:rsidRPr="0065554C">
        <w:t xml:space="preserve">Las Entidades Responsables de </w:t>
      </w:r>
      <w:r w:rsidR="00FB1622" w:rsidRPr="0065554C">
        <w:t>Carga</w:t>
      </w:r>
      <w:r w:rsidRPr="0065554C">
        <w:t xml:space="preserve"> distintas a los Suministradores de Servicios Básicos podrán participar en las Subastas siempre y cuando cumplan con las condiciones previstas </w:t>
      </w:r>
      <w:r w:rsidR="00D76082" w:rsidRPr="0065554C">
        <w:t xml:space="preserve">en </w:t>
      </w:r>
      <w:r w:rsidRPr="0065554C">
        <w:t>el numeral 3.1.2 del Manual de Subastas de Largo Plazo.</w:t>
      </w:r>
    </w:p>
    <w:p w14:paraId="201EF801" w14:textId="77777777" w:rsidR="00160338" w:rsidRPr="0065554C" w:rsidRDefault="00160338" w:rsidP="005E311D">
      <w:pPr>
        <w:pStyle w:val="Numeral"/>
      </w:pPr>
      <w:r w:rsidRPr="0065554C">
        <w:t>Para poder presentar Ofertas de Compra en la Subasta, el Suministrador de Servicios Básicos y las Entidad</w:t>
      </w:r>
      <w:r w:rsidR="004E4EF9" w:rsidRPr="0065554C">
        <w:t>es</w:t>
      </w:r>
      <w:r w:rsidRPr="0065554C">
        <w:t xml:space="preserve"> Responsable</w:t>
      </w:r>
      <w:r w:rsidR="004E4EF9" w:rsidRPr="0065554C">
        <w:t>s</w:t>
      </w:r>
      <w:r w:rsidRPr="0065554C">
        <w:t xml:space="preserve"> de Carga deberán solicitar al CENACE su registro como Comprador Potencial</w:t>
      </w:r>
      <w:r w:rsidR="00893E32" w:rsidRPr="0065554C">
        <w:t xml:space="preserve"> en la fecha señalada para tal efecto en el Calendario de la Subasta, siendo hábiles las 24 horas del día.</w:t>
      </w:r>
      <w:r w:rsidRPr="0065554C">
        <w:t xml:space="preserve"> La solicitud de registro deberá ser presentada en los términos del formato contenido en el </w:t>
      </w:r>
      <w:r w:rsidRPr="0065554C">
        <w:rPr>
          <w:b/>
        </w:rPr>
        <w:t xml:space="preserve">Anexo </w:t>
      </w:r>
      <w:r w:rsidR="00903C2A" w:rsidRPr="0065554C">
        <w:rPr>
          <w:b/>
        </w:rPr>
        <w:t>IV.1</w:t>
      </w:r>
      <w:r w:rsidR="00893E32" w:rsidRPr="0065554C">
        <w:t xml:space="preserve"> por medio del </w:t>
      </w:r>
      <w:r w:rsidR="006A69EB" w:rsidRPr="0065554C">
        <w:t>Sitio, junto</w:t>
      </w:r>
      <w:r w:rsidRPr="0065554C">
        <w:t xml:space="preserve"> con la documentación correspondiente, incluyendo:</w:t>
      </w:r>
    </w:p>
    <w:p w14:paraId="5F1D088A" w14:textId="77777777" w:rsidR="00160338" w:rsidRPr="0065554C" w:rsidRDefault="005B093F" w:rsidP="005E311D">
      <w:pPr>
        <w:pStyle w:val="Inciso"/>
      </w:pPr>
      <w:r w:rsidRPr="0065554C">
        <w:t>L</w:t>
      </w:r>
      <w:r w:rsidR="00160338" w:rsidRPr="0065554C">
        <w:t xml:space="preserve">a declaración de que la Oferta es vinculante e irrevocable, según el </w:t>
      </w:r>
      <w:r w:rsidR="00160338" w:rsidRPr="0065554C">
        <w:rPr>
          <w:b/>
        </w:rPr>
        <w:t>Anexo IV.4</w:t>
      </w:r>
      <w:r w:rsidR="00160338" w:rsidRPr="0065554C">
        <w:t xml:space="preserve">; </w:t>
      </w:r>
    </w:p>
    <w:p w14:paraId="77DD8F97" w14:textId="77777777" w:rsidR="00160338" w:rsidRPr="0065554C" w:rsidRDefault="00160338" w:rsidP="005E311D">
      <w:pPr>
        <w:pStyle w:val="Inciso"/>
      </w:pPr>
      <w:r w:rsidRPr="0065554C">
        <w:t xml:space="preserve">el Compromiso de firma de Contratos, de acuerdo al </w:t>
      </w:r>
      <w:r w:rsidRPr="0065554C">
        <w:rPr>
          <w:b/>
        </w:rPr>
        <w:t>Anexo IV.5</w:t>
      </w:r>
      <w:r w:rsidRPr="0065554C">
        <w:t xml:space="preserve">; </w:t>
      </w:r>
    </w:p>
    <w:p w14:paraId="09DA7E8F" w14:textId="77777777" w:rsidR="00160338" w:rsidRPr="0065554C" w:rsidRDefault="00160338" w:rsidP="005E311D">
      <w:pPr>
        <w:pStyle w:val="Inciso"/>
      </w:pPr>
      <w:r w:rsidRPr="0065554C">
        <w:t xml:space="preserve">la Aceptación de la Normatividad, según el </w:t>
      </w:r>
      <w:r w:rsidRPr="0065554C">
        <w:rPr>
          <w:b/>
        </w:rPr>
        <w:t>Anexo IV.6</w:t>
      </w:r>
      <w:r w:rsidRPr="0065554C">
        <w:t xml:space="preserve">; </w:t>
      </w:r>
    </w:p>
    <w:p w14:paraId="1E35DA3D" w14:textId="77777777" w:rsidR="00160338" w:rsidRPr="0065554C" w:rsidRDefault="00160338" w:rsidP="005E311D">
      <w:pPr>
        <w:pStyle w:val="Inciso"/>
      </w:pPr>
      <w:r w:rsidRPr="0065554C">
        <w:t xml:space="preserve">el Compromiso de ser Participante del Mercado, según el </w:t>
      </w:r>
      <w:r w:rsidRPr="0065554C">
        <w:rPr>
          <w:b/>
        </w:rPr>
        <w:t>Anexo IV.7</w:t>
      </w:r>
      <w:r w:rsidR="002513C9" w:rsidRPr="0065554C">
        <w:rPr>
          <w:b/>
        </w:rPr>
        <w:t>;</w:t>
      </w:r>
    </w:p>
    <w:p w14:paraId="13022909" w14:textId="77777777" w:rsidR="002513C9" w:rsidRPr="0065554C" w:rsidRDefault="00160338" w:rsidP="005E311D">
      <w:pPr>
        <w:pStyle w:val="Inciso"/>
      </w:pPr>
      <w:r w:rsidRPr="0065554C">
        <w:lastRenderedPageBreak/>
        <w:t xml:space="preserve">la Oferta de Compra Autónoma, según el </w:t>
      </w:r>
      <w:r w:rsidRPr="0065554C">
        <w:rPr>
          <w:b/>
        </w:rPr>
        <w:t>Anexo IV.8</w:t>
      </w:r>
      <w:r w:rsidR="002513C9" w:rsidRPr="0065554C">
        <w:t>, y</w:t>
      </w:r>
    </w:p>
    <w:p w14:paraId="54ECEDB3" w14:textId="77777777" w:rsidR="00160338" w:rsidRPr="0065554C" w:rsidRDefault="00197F15" w:rsidP="00197F15">
      <w:pPr>
        <w:pStyle w:val="Inciso"/>
        <w:rPr>
          <w:b/>
        </w:rPr>
      </w:pPr>
      <w:r w:rsidRPr="0065554C">
        <w:t xml:space="preserve">la declaración </w:t>
      </w:r>
      <w:r w:rsidR="0069334F" w:rsidRPr="0065554C">
        <w:t xml:space="preserve">del Comprador </w:t>
      </w:r>
      <w:r w:rsidRPr="0065554C">
        <w:t xml:space="preserve">de Aceptación de uso de medios electrónicos de comunicación, contenida en </w:t>
      </w:r>
      <w:r w:rsidR="006A69EB" w:rsidRPr="0065554C">
        <w:t xml:space="preserve">el </w:t>
      </w:r>
      <w:r w:rsidRPr="0065554C">
        <w:rPr>
          <w:b/>
        </w:rPr>
        <w:t>Anexo IV.</w:t>
      </w:r>
      <w:r w:rsidR="006E6A9B" w:rsidRPr="0065554C">
        <w:rPr>
          <w:b/>
        </w:rPr>
        <w:t>9</w:t>
      </w:r>
    </w:p>
    <w:p w14:paraId="2067C50B" w14:textId="77777777" w:rsidR="006A69EB" w:rsidRPr="0065554C" w:rsidRDefault="006A69EB" w:rsidP="006A69EB">
      <w:pPr>
        <w:pStyle w:val="Inciso"/>
      </w:pPr>
      <w:r w:rsidRPr="0065554C">
        <w:t xml:space="preserve">la Declaración en materia de conflicto de interés y transparencia para Comprador Potencial, contenida en el </w:t>
      </w:r>
      <w:r w:rsidRPr="0065554C">
        <w:rPr>
          <w:b/>
        </w:rPr>
        <w:t>Anexo III.5</w:t>
      </w:r>
      <w:r w:rsidRPr="0065554C">
        <w:t>.</w:t>
      </w:r>
    </w:p>
    <w:p w14:paraId="47FF08BE" w14:textId="77777777" w:rsidR="00160338" w:rsidRPr="0065554C" w:rsidRDefault="00160338" w:rsidP="005E311D">
      <w:pPr>
        <w:pStyle w:val="Numeral"/>
      </w:pPr>
      <w:r w:rsidRPr="0065554C">
        <w:t>El Suministrador de Servicios Básicos y las demás Entidades Responsables de Carga deberán acreditar al CENACE lo siguiente:</w:t>
      </w:r>
    </w:p>
    <w:p w14:paraId="1DFF4162" w14:textId="77777777" w:rsidR="00160338" w:rsidRPr="0065554C" w:rsidRDefault="00160338" w:rsidP="005E311D">
      <w:pPr>
        <w:pStyle w:val="Inciso"/>
      </w:pPr>
      <w:r w:rsidRPr="0065554C">
        <w:t>Que ha cubierto el costo correspondiente a la adquisición de las Bases de Licitación.</w:t>
      </w:r>
    </w:p>
    <w:p w14:paraId="647C16B4" w14:textId="77777777" w:rsidR="00160338" w:rsidRPr="0065554C" w:rsidRDefault="00160338" w:rsidP="005E311D">
      <w:pPr>
        <w:pStyle w:val="Inciso"/>
      </w:pPr>
      <w:r w:rsidRPr="0065554C">
        <w:t>Que ha cubierto el costo correspondiente a la evaluación de su solicitud de registro como Comprador Potencial.</w:t>
      </w:r>
    </w:p>
    <w:p w14:paraId="077FE9E3" w14:textId="77777777" w:rsidR="00160338" w:rsidRPr="0065554C" w:rsidRDefault="00160338" w:rsidP="005E311D">
      <w:pPr>
        <w:pStyle w:val="Inciso"/>
      </w:pPr>
      <w:r w:rsidRPr="0065554C">
        <w:t>Que cuenta con suficiente capacidad legal, financiera</w:t>
      </w:r>
      <w:r w:rsidR="005B093F" w:rsidRPr="0065554C">
        <w:t xml:space="preserve"> y</w:t>
      </w:r>
      <w:r w:rsidRPr="0065554C">
        <w:t xml:space="preserve"> técnica y de ejecución para cumplir con las Ofertas de Compra que llegue a presentar en la Subasta. Para hacerlo deberá presentar la documentación correspondiente de acuerdo con el formato contenido en el </w:t>
      </w:r>
      <w:r w:rsidRPr="0065554C">
        <w:rPr>
          <w:b/>
        </w:rPr>
        <w:t>Anexo IV.1</w:t>
      </w:r>
      <w:r w:rsidRPr="0065554C">
        <w:t xml:space="preserve">. </w:t>
      </w:r>
    </w:p>
    <w:p w14:paraId="513C4B8E" w14:textId="77777777" w:rsidR="00160338" w:rsidRPr="0065554C" w:rsidRDefault="00160338" w:rsidP="005E311D">
      <w:pPr>
        <w:pStyle w:val="Numeral"/>
      </w:pPr>
      <w:r w:rsidRPr="0065554C">
        <w:t>Conforme a lo previsto en la Base 14.1.5(c)</w:t>
      </w:r>
      <w:r w:rsidR="00893E32" w:rsidRPr="0065554C">
        <w:t xml:space="preserve"> de las Bases del Mercado Eléctrico</w:t>
      </w:r>
      <w:r w:rsidRPr="0065554C">
        <w:rPr>
          <w:szCs w:val="20"/>
        </w:rPr>
        <w:t>, en las Subastas de Largo Plazo</w:t>
      </w:r>
      <w:r w:rsidR="00FB1622" w:rsidRPr="0065554C">
        <w:rPr>
          <w:szCs w:val="20"/>
        </w:rPr>
        <w:t>,</w:t>
      </w:r>
      <w:r w:rsidRPr="0065554C">
        <w:t xml:space="preserve"> sólo las Entidades Responsables de Carga distintas a los Suministradores de Servicios Básicos deberán presentar Garantías de Seriedad en los términos y plazos establecidos en el Manual de Subastas de Largo Plazo, el Calendario de la Subasta y el numeral 4.</w:t>
      </w:r>
      <w:r w:rsidR="004E4EF9" w:rsidRPr="0065554C">
        <w:t>5</w:t>
      </w:r>
      <w:r w:rsidRPr="0065554C">
        <w:t>, respectivamente, por lo que</w:t>
      </w:r>
      <w:r w:rsidR="004E4EF9" w:rsidRPr="0065554C">
        <w:t>,</w:t>
      </w:r>
      <w:r w:rsidRPr="0065554C">
        <w:t xml:space="preserve"> para efectos de esta Subasta, el Suministrador de Servicios Básicos no está obligado a otorgar dicha garantía.</w:t>
      </w:r>
    </w:p>
    <w:p w14:paraId="112B793B" w14:textId="77777777" w:rsidR="00160338" w:rsidRPr="0065554C" w:rsidRDefault="00160338" w:rsidP="005E311D">
      <w:pPr>
        <w:pStyle w:val="Numeral"/>
      </w:pPr>
      <w:r w:rsidRPr="0065554C">
        <w:t>Una vez presentada la solicitud de registro de Comprador Potencial, el CENACE contará con un plazo máximo de diez días hábiles para evaluarla y, en su caso, registrar al Suministrador de Servicios Básicos y a las demás Entidades Responsables de Carga como Compradores Potenciales</w:t>
      </w:r>
      <w:r w:rsidR="008D1CF2" w:rsidRPr="0065554C">
        <w:t xml:space="preserve"> emitiendo una constancia de registro de Comprador Potencial</w:t>
      </w:r>
      <w:r w:rsidRPr="0065554C">
        <w:t>. Si el CENACE considera que la información presentada por el Suministrador de Servicios Básicos y en su caso a las demás Entidades Responsables de Carga para su registro como Comprador Potencial es insuficiente, deberá hacérselo saber a más tardar al cuarto día hábil después de presentada su solicitud. El Suministrador de Servicios Básicos y</w:t>
      </w:r>
      <w:r w:rsidR="00FB1622" w:rsidRPr="0065554C">
        <w:t>,</w:t>
      </w:r>
      <w:r w:rsidRPr="0065554C">
        <w:t xml:space="preserve"> en su caso</w:t>
      </w:r>
      <w:r w:rsidR="00FB1622" w:rsidRPr="0065554C">
        <w:t>, a</w:t>
      </w:r>
      <w:r w:rsidRPr="0065554C">
        <w:t xml:space="preserve"> las Entidades Responsables de Carga contará con un plazo de cinco días hábiles para subsanar la omisión.</w:t>
      </w:r>
    </w:p>
    <w:p w14:paraId="4BD67C76" w14:textId="77777777" w:rsidR="00160338" w:rsidRPr="0065554C" w:rsidRDefault="00160338" w:rsidP="005E311D">
      <w:pPr>
        <w:pStyle w:val="Numeral"/>
      </w:pPr>
      <w:r w:rsidRPr="0065554C">
        <w:t>El plazo para que el CENACE registre al Suministrador de Servicios Básicos y en su caso</w:t>
      </w:r>
      <w:r w:rsidR="00FB1622" w:rsidRPr="0065554C">
        <w:t>, a</w:t>
      </w:r>
      <w:r w:rsidRPr="0065554C">
        <w:t xml:space="preserve"> las Entidades Responsables de Carga como Compradores Potenciales se reanudará al día siguiente a que éste presente la información faltante o adicional requerida por el CENACE. Si el Suministrador de Servicios Básicos y en su caso a las Entidades Responsables de Carga no </w:t>
      </w:r>
      <w:r w:rsidR="00FB1622" w:rsidRPr="0065554C">
        <w:t>subsanan</w:t>
      </w:r>
      <w:r w:rsidRPr="0065554C">
        <w:t xml:space="preserve"> su omisión dentro del plazo señalado en el numeral anterior, el CENACE desechará su solicitud. </w:t>
      </w:r>
    </w:p>
    <w:p w14:paraId="7E71A543" w14:textId="77777777" w:rsidR="00160338" w:rsidRPr="0065554C" w:rsidRDefault="00160338" w:rsidP="005E311D">
      <w:pPr>
        <w:pStyle w:val="Numeral"/>
      </w:pPr>
      <w:r w:rsidRPr="0065554C">
        <w:t xml:space="preserve">Una vez subsanada la información requerida por el CENACE, éste deberá </w:t>
      </w:r>
      <w:r w:rsidR="008D1CF2" w:rsidRPr="0065554C">
        <w:t xml:space="preserve">registrar al Comprador Potencial </w:t>
      </w:r>
      <w:r w:rsidRPr="0065554C">
        <w:t>emiti</w:t>
      </w:r>
      <w:r w:rsidR="008D1CF2" w:rsidRPr="0065554C">
        <w:t>endo</w:t>
      </w:r>
      <w:r w:rsidRPr="0065554C">
        <w:t xml:space="preserve"> una constancia de registro de Comprador Potencial.  </w:t>
      </w:r>
    </w:p>
    <w:p w14:paraId="68DDF8D8" w14:textId="77777777" w:rsidR="00FB1622" w:rsidRPr="0065554C" w:rsidRDefault="00FB1622" w:rsidP="005E311D">
      <w:pPr>
        <w:pStyle w:val="Numeral"/>
        <w:rPr>
          <w:rFonts w:eastAsiaTheme="majorEastAsia"/>
        </w:rPr>
      </w:pPr>
      <w:bookmarkStart w:id="232" w:name="_Toc436487863"/>
      <w:bookmarkStart w:id="233" w:name="_Toc436433767"/>
      <w:bookmarkStart w:id="234" w:name="_Toc450052181"/>
      <w:bookmarkStart w:id="235" w:name="_Toc312964151"/>
      <w:bookmarkStart w:id="236" w:name="_Toc450201423"/>
      <w:bookmarkStart w:id="237" w:name="_Toc450638586"/>
      <w:r w:rsidRPr="0065554C">
        <w:lastRenderedPageBreak/>
        <w:t>En la Subasta se recibirá primero la Oferta de Compra de los Suministradores de Servicios Básicos que hayan sido registrados como Compradores Potenciales y después se recibirán las Ofertas de Compra de las demás Entidades Responsables de Carga que también hayan sido registradas como Compradores Potenciales. Lo anterior a efecto de que las Ofertas de Compra de estas últimas puedan ser presentadas en función de las cantidades, precios y parámetros de la Oferta de Compra presentada por los Suministradores de Servicios Básicos, en términos de la disposición 5.5.3 del Manual de Subastas de Largo Plazo.</w:t>
      </w:r>
    </w:p>
    <w:p w14:paraId="26A059E7" w14:textId="77777777" w:rsidR="00FB1622" w:rsidRPr="0065554C" w:rsidRDefault="00FB1622" w:rsidP="005E311D">
      <w:pPr>
        <w:pStyle w:val="Numeral"/>
        <w:rPr>
          <w:rFonts w:eastAsiaTheme="majorEastAsia"/>
        </w:rPr>
      </w:pPr>
      <w:r w:rsidRPr="0065554C">
        <w:t xml:space="preserve">Los </w:t>
      </w:r>
      <w:r w:rsidR="00AE2B42" w:rsidRPr="0065554C">
        <w:t xml:space="preserve">Suministradores de Servicio Básico </w:t>
      </w:r>
      <w:r w:rsidRPr="0065554C">
        <w:t xml:space="preserve">deberán indicar el precio de sus Ofertas de Compra en Pesos, e indicar el tipo de cambio Peso/Dólar que haya utilizado para elaborarlas. El CENACE ajustará los precios correspondientes de acuerdo con el tipo de cambio Peso/Dólar publicado por el Banco de México el quinto día hábil anterior a la fecha de presentación de ofertas económicas y ese mismo día dará a conocer dichos precios ajustados, a través del Sitio y de la página web del CENACE. Lo anterior con el objeto de reducir los riesgos inherentes a la volatilidad cambiaria y en atención a que las Ofertas de Venta se ajustarán en función del tipo de cambio Peso/Dólar que se observe el quinto día hábil anterior a la fecha de presentación de </w:t>
      </w:r>
      <w:r w:rsidR="00C32B1E" w:rsidRPr="0065554C">
        <w:t xml:space="preserve">las </w:t>
      </w:r>
      <w:r w:rsidRPr="0065554C">
        <w:t>ofertas económicas.</w:t>
      </w:r>
    </w:p>
    <w:p w14:paraId="70A5A7D1" w14:textId="77777777" w:rsidR="00160338" w:rsidRPr="0065554C" w:rsidRDefault="00160338" w:rsidP="00160338">
      <w:pPr>
        <w:pStyle w:val="Seccin"/>
      </w:pPr>
      <w:bookmarkStart w:id="238" w:name="_Toc479255726"/>
      <w:bookmarkStart w:id="239" w:name="_Toc479763771"/>
      <w:bookmarkStart w:id="240" w:name="_Toc509413014"/>
      <w:r w:rsidRPr="0065554C">
        <w:t>Oferta de Compra del Suministrador de Servicios Básicos</w:t>
      </w:r>
      <w:bookmarkEnd w:id="238"/>
      <w:bookmarkEnd w:id="239"/>
      <w:bookmarkEnd w:id="240"/>
    </w:p>
    <w:bookmarkEnd w:id="232"/>
    <w:bookmarkEnd w:id="233"/>
    <w:bookmarkEnd w:id="234"/>
    <w:bookmarkEnd w:id="235"/>
    <w:bookmarkEnd w:id="236"/>
    <w:bookmarkEnd w:id="237"/>
    <w:p w14:paraId="1E23DFE9" w14:textId="77777777" w:rsidR="00160338" w:rsidRPr="0065554C" w:rsidRDefault="000765F4" w:rsidP="005E311D">
      <w:pPr>
        <w:pStyle w:val="Numeral"/>
      </w:pPr>
      <w:r w:rsidRPr="0065554C">
        <w:t>Al día hábil siguiente</w:t>
      </w:r>
      <w:r w:rsidR="00160338" w:rsidRPr="0065554C">
        <w:t xml:space="preserve"> a la fecha en que reciba la Oferta de Compra</w:t>
      </w:r>
      <w:r w:rsidR="00FB1622" w:rsidRPr="0065554C">
        <w:t xml:space="preserve"> del Suministrador de Servicios Básicos</w:t>
      </w:r>
      <w:r w:rsidR="00160338" w:rsidRPr="0065554C">
        <w:t xml:space="preserve">, el CENACE verificará que </w:t>
      </w:r>
      <w:r w:rsidR="00FB1622" w:rsidRPr="0065554C">
        <w:t>ésta</w:t>
      </w:r>
      <w:r w:rsidR="00160338" w:rsidRPr="0065554C">
        <w:t xml:space="preserve"> cumpla con los parámetros establecidos en la disposición 5.5.2 (d) del Manual de Subastas de Largo Plazo y, en caso de incumplimiento, el CENACE ajustará las cantidades, los precios y los parámetros de dicha Oferta de Compra conforme a lo señalado en el numeral 5.5.2(e) del Manual de Subastas de Largo Plazo.</w:t>
      </w:r>
    </w:p>
    <w:p w14:paraId="61519F2C" w14:textId="77777777" w:rsidR="00160338" w:rsidRPr="0065554C" w:rsidRDefault="00160338" w:rsidP="005E311D">
      <w:pPr>
        <w:pStyle w:val="Numeral"/>
      </w:pPr>
      <w:r w:rsidRPr="0065554C">
        <w:t xml:space="preserve">La Oferta de Compra recibida por el CENACE y, en su caso, ajustada en términos del numeral anterior, constituirá la Oferta de Compra Aceptada para la Subasta. </w:t>
      </w:r>
    </w:p>
    <w:p w14:paraId="1354374D" w14:textId="77777777" w:rsidR="00C32B1E" w:rsidRPr="0065554C" w:rsidRDefault="00C32B1E" w:rsidP="005E311D">
      <w:pPr>
        <w:pStyle w:val="Numeral"/>
      </w:pPr>
      <w:r w:rsidRPr="0065554C">
        <w:t>Los Suministradores de Servicios Básicos podrán determinar libremente las cantidades de cada Producto que ofrezca</w:t>
      </w:r>
      <w:r w:rsidR="00D52E98" w:rsidRPr="0065554C">
        <w:t>n</w:t>
      </w:r>
      <w:r w:rsidRPr="0065554C">
        <w:t xml:space="preserve"> comprar en la Subasta, tomando en cuenta los requisitos de contratación que en su caso establezca la CRE y los Contratos de Cobertura Eléctrica que ya haya celebrado. </w:t>
      </w:r>
    </w:p>
    <w:p w14:paraId="20DA300F" w14:textId="34A33623" w:rsidR="00726B99" w:rsidRPr="0065554C" w:rsidRDefault="00726B99" w:rsidP="005E311D">
      <w:pPr>
        <w:pStyle w:val="Numeral"/>
      </w:pPr>
      <w:r w:rsidRPr="0065554C">
        <w:t>Las Ofertas de Compra de</w:t>
      </w:r>
      <w:r w:rsidR="00597818" w:rsidRPr="0065554C">
        <w:t xml:space="preserve">l Suministrador de Servicios Básicos </w:t>
      </w:r>
      <w:r w:rsidRPr="0065554C">
        <w:t xml:space="preserve">deberán cumplir con lo previsto en el numeral 5.5.2 del Manual de Subastas de Largo Plazo y ser presentadas al CENACE a través del </w:t>
      </w:r>
      <w:r w:rsidRPr="0065554C">
        <w:rPr>
          <w:b/>
        </w:rPr>
        <w:t>Anexo IV.2</w:t>
      </w:r>
      <w:r w:rsidR="00E64A32" w:rsidRPr="0065554C">
        <w:rPr>
          <w:b/>
        </w:rPr>
        <w:t xml:space="preserve"> </w:t>
      </w:r>
      <w:r w:rsidR="00E64A32" w:rsidRPr="0065554C">
        <w:t>y</w:t>
      </w:r>
      <w:r w:rsidR="00F40F5B" w:rsidRPr="0065554C">
        <w:t xml:space="preserve"> deberán presentar </w:t>
      </w:r>
      <w:r w:rsidR="00353881" w:rsidRPr="0065554C">
        <w:t xml:space="preserve">a través del </w:t>
      </w:r>
      <w:r w:rsidR="00353881" w:rsidRPr="0065554C">
        <w:rPr>
          <w:b/>
        </w:rPr>
        <w:t>Anexo III.5</w:t>
      </w:r>
      <w:r w:rsidR="00970105">
        <w:rPr>
          <w:b/>
        </w:rPr>
        <w:t>Bis</w:t>
      </w:r>
      <w:r w:rsidR="00353881" w:rsidRPr="0065554C">
        <w:t xml:space="preserve"> la</w:t>
      </w:r>
      <w:r w:rsidR="00F40F5B" w:rsidRPr="0065554C">
        <w:t xml:space="preserve"> declaración bajo protesta de decir verdad, firmada por el representante legal del Comprador Potencial, en la que manifieste que para el desarrollo de dicha Oferta de Compra no contó con la participación de las personas identificadas por la Secretaría, la CRE y el CENACE conforme al numeral 3.6.3 del Manual de Subastas de Largo Plazo</w:t>
      </w:r>
      <w:r w:rsidR="00353881" w:rsidRPr="0065554C">
        <w:t>.</w:t>
      </w:r>
      <w:r w:rsidR="00F40F5B" w:rsidRPr="0065554C">
        <w:t xml:space="preserve"> </w:t>
      </w:r>
    </w:p>
    <w:p w14:paraId="6D7273EE" w14:textId="77777777" w:rsidR="00160338" w:rsidRPr="0065554C" w:rsidRDefault="00160338" w:rsidP="00160338">
      <w:pPr>
        <w:pStyle w:val="Seccin"/>
      </w:pPr>
      <w:bookmarkStart w:id="241" w:name="_Toc479255727"/>
      <w:bookmarkStart w:id="242" w:name="_Toc479763772"/>
      <w:bookmarkStart w:id="243" w:name="_Toc509413015"/>
      <w:r w:rsidRPr="0065554C">
        <w:lastRenderedPageBreak/>
        <w:t>Ofertas de Compra de las demás Entidades Responsables de Carga</w:t>
      </w:r>
      <w:bookmarkEnd w:id="241"/>
      <w:bookmarkEnd w:id="242"/>
      <w:bookmarkEnd w:id="243"/>
    </w:p>
    <w:p w14:paraId="5AD67269" w14:textId="77777777" w:rsidR="00160338" w:rsidRPr="0065554C" w:rsidRDefault="00160338" w:rsidP="005E311D">
      <w:pPr>
        <w:pStyle w:val="Numeral"/>
      </w:pPr>
      <w:r w:rsidRPr="0065554C">
        <w:t xml:space="preserve">Una vez que el Comprador Potencial cuente con la constancia de registro referida en </w:t>
      </w:r>
      <w:r w:rsidR="00F74476" w:rsidRPr="0065554C">
        <w:t xml:space="preserve">los </w:t>
      </w:r>
      <w:r w:rsidRPr="0065554C">
        <w:t>numeral</w:t>
      </w:r>
      <w:r w:rsidR="00F74476" w:rsidRPr="0065554C">
        <w:t>es</w:t>
      </w:r>
      <w:r w:rsidRPr="0065554C">
        <w:t xml:space="preserve"> </w:t>
      </w:r>
      <w:r w:rsidR="00CF26D3" w:rsidRPr="0065554C">
        <w:t xml:space="preserve">4.2.6 y </w:t>
      </w:r>
      <w:r w:rsidRPr="0065554C">
        <w:t>4.2.</w:t>
      </w:r>
      <w:r w:rsidR="00016224" w:rsidRPr="0065554C">
        <w:t>8</w:t>
      </w:r>
      <w:r w:rsidRPr="0065554C">
        <w:t>, presentará al CENACE la Oferta de Compra que desee incluir, antes de la fecha límite establecida para ello en el Calendario de la Subasta. Las Ofertas de Compra deberán</w:t>
      </w:r>
      <w:r w:rsidR="00E64A32" w:rsidRPr="0065554C">
        <w:t xml:space="preserve"> presentarse a través del SAS</w:t>
      </w:r>
      <w:r w:rsidR="00C32B1E" w:rsidRPr="0065554C">
        <w:t>.</w:t>
      </w:r>
      <w:r w:rsidRPr="0065554C">
        <w:t xml:space="preserve"> </w:t>
      </w:r>
    </w:p>
    <w:p w14:paraId="6FF01735" w14:textId="77777777" w:rsidR="006D3BB9" w:rsidRPr="0065554C" w:rsidRDefault="00FB1622" w:rsidP="005E311D">
      <w:pPr>
        <w:pStyle w:val="Numeral"/>
      </w:pPr>
      <w:r w:rsidRPr="0065554C">
        <w:t>Las</w:t>
      </w:r>
      <w:r w:rsidR="00160338" w:rsidRPr="0065554C">
        <w:t xml:space="preserve"> Entidades Responsables de Carga podrán determinar las cantidades de cada Producto que ofrezcan comprar</w:t>
      </w:r>
      <w:r w:rsidR="004365C4" w:rsidRPr="0065554C">
        <w:t xml:space="preserve"> dentro de alguno de los siguientes supuestos según se les aplique:</w:t>
      </w:r>
    </w:p>
    <w:p w14:paraId="68B75020" w14:textId="77777777" w:rsidR="00160338" w:rsidRPr="0065554C" w:rsidRDefault="00160338" w:rsidP="005E311D">
      <w:pPr>
        <w:pStyle w:val="Inciso"/>
        <w:numPr>
          <w:ilvl w:val="0"/>
          <w:numId w:val="0"/>
        </w:numPr>
      </w:pPr>
    </w:p>
    <w:p w14:paraId="5B89CFD6" w14:textId="77777777" w:rsidR="004365C4" w:rsidRPr="0065554C" w:rsidRDefault="004365C4" w:rsidP="005E311D">
      <w:pPr>
        <w:pStyle w:val="Inciso"/>
      </w:pPr>
      <w:r w:rsidRPr="0065554C">
        <w:t>Cuando la Oferta de Compra Aceptada del Suministrador de Servicios Básicos incluya CEL, las Entidades Responsables de Carga distintas a los Suministradores de Servicios Básicos deberán ofertar una cantidad de CEL equivalente al 0.1% o superior respecto a la Oferta de Compra Aceptada del Suministrador de Servicios Básicos, la cantidad de Potencia y Energía Eléctrica Acumulable se calculará por el CENACE de manera proporcional</w:t>
      </w:r>
      <w:r w:rsidR="006D3BB9" w:rsidRPr="0065554C">
        <w:t xml:space="preserve"> a la Oferta de Compra Aceptada del Suministrador de Servicios Básicos.</w:t>
      </w:r>
    </w:p>
    <w:p w14:paraId="50F73A61" w14:textId="77777777" w:rsidR="004365C4" w:rsidRPr="0065554C" w:rsidRDefault="004365C4" w:rsidP="005E311D">
      <w:pPr>
        <w:pStyle w:val="Inciso"/>
      </w:pPr>
      <w:r w:rsidRPr="0065554C">
        <w:t>Cuando la Oferta de Compra Aceptada del Suministrador de Servicios Básicos no incluya CEL pero s</w:t>
      </w:r>
      <w:r w:rsidR="001B562C" w:rsidRPr="0065554C">
        <w:t>í</w:t>
      </w:r>
      <w:r w:rsidRPr="0065554C">
        <w:t xml:space="preserve"> Potencia, las Entidades Responsables de Carga distintas a los Suministradores de Servicios Básicos deberán ofertar una cantidad de Potencia equivalente al 0.1% o superior respecto a la Oferta de Compra Aceptada del Suministrador de Servicios Básicos, la cantidad de Energía Eléctrica Acumulable se calculará por el CENACE de manera proporcional</w:t>
      </w:r>
      <w:r w:rsidR="006D3BB9" w:rsidRPr="0065554C">
        <w:t xml:space="preserve"> a la Oferta de Compra Aceptada del Suministrador de Servicios Básicos.</w:t>
      </w:r>
    </w:p>
    <w:p w14:paraId="37877BD2" w14:textId="77777777" w:rsidR="004365C4" w:rsidRPr="0065554C" w:rsidRDefault="004365C4" w:rsidP="005E311D">
      <w:pPr>
        <w:pStyle w:val="Inciso"/>
      </w:pPr>
      <w:r w:rsidRPr="0065554C">
        <w:t>Cuando la Oferta de Compra Aceptada del Suministrador de Servicios Básicos solo incluya Energía Eléctrica Acumulable, las Entidades Responsables de Carga distintas a los Suministradores de Servicios Básicos deberán ofertar una cantidad de Energía Eléctrica Acumulable equivalente al 0.1% o superior respecto a la Oferta de Compra Aceptada del Suministrador de Servicios Básicos.</w:t>
      </w:r>
    </w:p>
    <w:p w14:paraId="63A6064C" w14:textId="77777777" w:rsidR="000346D6" w:rsidRPr="0065554C" w:rsidRDefault="000346D6" w:rsidP="00C37001">
      <w:pPr>
        <w:pStyle w:val="Subinciso"/>
        <w:numPr>
          <w:ilvl w:val="0"/>
          <w:numId w:val="0"/>
        </w:numPr>
        <w:ind w:left="4253"/>
      </w:pPr>
    </w:p>
    <w:p w14:paraId="734C77BC" w14:textId="77777777" w:rsidR="000346D6" w:rsidRPr="0065554C" w:rsidRDefault="000346D6" w:rsidP="00C37001">
      <w:pPr>
        <w:pStyle w:val="Subinciso"/>
        <w:numPr>
          <w:ilvl w:val="0"/>
          <w:numId w:val="0"/>
        </w:numPr>
        <w:ind w:left="4253"/>
      </w:pPr>
    </w:p>
    <w:tbl>
      <w:tblPr>
        <w:tblStyle w:val="Tablaconcuadrcula1"/>
        <w:tblW w:w="9072" w:type="dxa"/>
        <w:tblInd w:w="846" w:type="dxa"/>
        <w:tblLook w:val="04A0" w:firstRow="1" w:lastRow="0" w:firstColumn="1" w:lastColumn="0" w:noHBand="0" w:noVBand="1"/>
      </w:tblPr>
      <w:tblGrid>
        <w:gridCol w:w="9072"/>
      </w:tblGrid>
      <w:tr w:rsidR="0065554C" w:rsidRPr="0065554C" w14:paraId="286D47B1" w14:textId="77777777" w:rsidTr="00911BEF">
        <w:tc>
          <w:tcPr>
            <w:tcW w:w="9072" w:type="dxa"/>
            <w:shd w:val="clear" w:color="auto" w:fill="D0CECE"/>
          </w:tcPr>
          <w:p w14:paraId="579A573D" w14:textId="77777777" w:rsidR="00F01499" w:rsidRPr="0065554C" w:rsidRDefault="00F01499" w:rsidP="00F01499">
            <w:pPr>
              <w:ind w:left="283" w:right="333"/>
              <w:jc w:val="center"/>
              <w:rPr>
                <w:rFonts w:asciiTheme="minorHAnsi" w:eastAsia="Calibri" w:hAnsiTheme="minorHAnsi"/>
                <w:b/>
                <w:lang w:val="es-MX"/>
              </w:rPr>
            </w:pPr>
            <w:r w:rsidRPr="0065554C">
              <w:rPr>
                <w:rFonts w:asciiTheme="minorHAnsi" w:eastAsia="Calibri" w:hAnsiTheme="minorHAnsi"/>
                <w:b/>
                <w:lang w:val="es-MX"/>
              </w:rPr>
              <w:t xml:space="preserve">Ejemplos Ofertas de Compra de ERC </w:t>
            </w:r>
            <w:r w:rsidR="00EB7A0F" w:rsidRPr="0065554C">
              <w:rPr>
                <w:rFonts w:asciiTheme="minorHAnsi" w:eastAsia="Calibri" w:hAnsiTheme="minorHAnsi"/>
                <w:b/>
                <w:lang w:val="es-MX"/>
              </w:rPr>
              <w:t xml:space="preserve">distinta </w:t>
            </w:r>
            <w:r w:rsidR="00B13ADB" w:rsidRPr="0065554C">
              <w:rPr>
                <w:rFonts w:asciiTheme="minorHAnsi" w:eastAsia="Calibri" w:hAnsiTheme="minorHAnsi"/>
                <w:b/>
                <w:lang w:val="es-MX"/>
              </w:rPr>
              <w:t>al SSB</w:t>
            </w:r>
          </w:p>
          <w:p w14:paraId="5711A762" w14:textId="77777777" w:rsidR="00F01499" w:rsidRPr="0065554C" w:rsidRDefault="00F01499" w:rsidP="00F01499">
            <w:pPr>
              <w:ind w:left="720" w:right="333" w:hanging="360"/>
              <w:rPr>
                <w:rFonts w:asciiTheme="minorHAnsi" w:eastAsia="Calibri" w:hAnsiTheme="minorHAnsi"/>
                <w:lang w:val="es-MX"/>
              </w:rPr>
            </w:pPr>
            <w:r w:rsidRPr="0065554C">
              <w:rPr>
                <w:rFonts w:asciiTheme="minorHAnsi" w:eastAsia="Calibri" w:hAnsiTheme="minorHAnsi"/>
                <w:lang w:val="es-MX"/>
              </w:rPr>
              <w:t xml:space="preserve"> </w:t>
            </w:r>
          </w:p>
          <w:p w14:paraId="5B4F4DD7" w14:textId="77777777" w:rsidR="00F01499" w:rsidRPr="0065554C" w:rsidRDefault="00F01499" w:rsidP="00D42E95">
            <w:pPr>
              <w:pStyle w:val="EjeNumer1er"/>
              <w:numPr>
                <w:ilvl w:val="0"/>
                <w:numId w:val="27"/>
              </w:numPr>
              <w:tabs>
                <w:tab w:val="clear" w:pos="851"/>
              </w:tabs>
              <w:spacing w:before="0" w:after="0"/>
              <w:ind w:hanging="262"/>
              <w:jc w:val="left"/>
            </w:pPr>
            <w:r w:rsidRPr="0065554C">
              <w:t xml:space="preserve">Suponga que la Oferta de Compra Aceptada del Suministrador de Servicios Básicos </w:t>
            </w:r>
            <w:r w:rsidR="00EB7A0F" w:rsidRPr="0065554C">
              <w:t>se compone de la siguiente manera:</w:t>
            </w:r>
          </w:p>
          <w:tbl>
            <w:tblPr>
              <w:tblpPr w:leftFromText="141" w:rightFromText="141" w:vertAnchor="text" w:horzAnchor="margin" w:tblpXSpec="center" w:tblpY="83"/>
              <w:tblOverlap w:val="never"/>
              <w:tblW w:w="5146" w:type="dxa"/>
              <w:tblCellMar>
                <w:left w:w="70" w:type="dxa"/>
                <w:right w:w="70" w:type="dxa"/>
              </w:tblCellMar>
              <w:tblLook w:val="04A0" w:firstRow="1" w:lastRow="0" w:firstColumn="1" w:lastColumn="0" w:noHBand="0" w:noVBand="1"/>
            </w:tblPr>
            <w:tblGrid>
              <w:gridCol w:w="1555"/>
              <w:gridCol w:w="1843"/>
              <w:gridCol w:w="1748"/>
            </w:tblGrid>
            <w:tr w:rsidR="0065554C" w:rsidRPr="0065554C" w14:paraId="2FB4C80B" w14:textId="77777777" w:rsidTr="00692BB5">
              <w:trPr>
                <w:trHeight w:val="335"/>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6A18E2" w14:textId="77777777" w:rsidR="00F01499" w:rsidRPr="0065554C" w:rsidRDefault="00F01499" w:rsidP="00B13ADB">
                  <w:pPr>
                    <w:tabs>
                      <w:tab w:val="clear" w:pos="851"/>
                    </w:tabs>
                    <w:spacing w:before="0" w:after="0"/>
                    <w:ind w:hanging="262"/>
                    <w:jc w:val="center"/>
                    <w:rPr>
                      <w:rFonts w:asciiTheme="minorHAnsi" w:hAnsiTheme="minorHAnsi"/>
                      <w:lang w:val="es-ES"/>
                    </w:rPr>
                  </w:pPr>
                  <w:r w:rsidRPr="0065554C">
                    <w:rPr>
                      <w:rFonts w:asciiTheme="minorHAnsi" w:hAnsiTheme="minorHAnsi"/>
                      <w:lang w:val="es-ES"/>
                    </w:rPr>
                    <w:t>Potencia</w:t>
                  </w:r>
                  <w:r w:rsidR="00EB7A0F" w:rsidRPr="0065554C">
                    <w:rPr>
                      <w:rFonts w:asciiTheme="minorHAnsi" w:hAnsiTheme="minorHAnsi"/>
                      <w:lang w:val="es-ES"/>
                    </w:rPr>
                    <w:t xml:space="preserve"> (MW)</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D495F88" w14:textId="77777777" w:rsidR="00F01499" w:rsidRPr="0065554C" w:rsidRDefault="00F17064" w:rsidP="00CE2603">
                  <w:pPr>
                    <w:tabs>
                      <w:tab w:val="clear" w:pos="851"/>
                    </w:tabs>
                    <w:spacing w:before="0" w:after="0"/>
                    <w:ind w:hanging="262"/>
                    <w:jc w:val="center"/>
                    <w:rPr>
                      <w:rFonts w:asciiTheme="minorHAnsi" w:hAnsiTheme="minorHAnsi"/>
                      <w:lang w:val="es-ES"/>
                    </w:rPr>
                  </w:pPr>
                  <w:r w:rsidRPr="0065554C">
                    <w:rPr>
                      <w:rFonts w:asciiTheme="minorHAnsi" w:hAnsiTheme="minorHAnsi"/>
                      <w:lang w:val="es-ES"/>
                    </w:rPr>
                    <w:t>EE</w:t>
                  </w:r>
                  <w:r w:rsidR="00B13ADB" w:rsidRPr="0065554C">
                    <w:rPr>
                      <w:rFonts w:asciiTheme="minorHAnsi" w:hAnsiTheme="minorHAnsi"/>
                      <w:lang w:val="es-ES"/>
                    </w:rPr>
                    <w:t>E</w:t>
                  </w:r>
                  <w:r w:rsidRPr="0065554C">
                    <w:rPr>
                      <w:rFonts w:asciiTheme="minorHAnsi" w:hAnsiTheme="minorHAnsi"/>
                      <w:lang w:val="es-ES"/>
                    </w:rPr>
                    <w:t xml:space="preserve">A </w:t>
                  </w:r>
                  <w:r w:rsidR="00EB7A0F" w:rsidRPr="0065554C">
                    <w:rPr>
                      <w:rFonts w:asciiTheme="minorHAnsi" w:hAnsiTheme="minorHAnsi"/>
                      <w:lang w:val="es-ES"/>
                    </w:rPr>
                    <w:t>(MWh/año)</w:t>
                  </w:r>
                </w:p>
              </w:tc>
              <w:tc>
                <w:tcPr>
                  <w:tcW w:w="1748" w:type="dxa"/>
                  <w:tcBorders>
                    <w:top w:val="single" w:sz="4" w:space="0" w:color="auto"/>
                    <w:left w:val="nil"/>
                    <w:bottom w:val="single" w:sz="4" w:space="0" w:color="auto"/>
                    <w:right w:val="single" w:sz="4" w:space="0" w:color="auto"/>
                  </w:tcBorders>
                  <w:shd w:val="clear" w:color="auto" w:fill="auto"/>
                  <w:noWrap/>
                  <w:vAlign w:val="bottom"/>
                  <w:hideMark/>
                </w:tcPr>
                <w:p w14:paraId="62E2BE8B" w14:textId="77777777" w:rsidR="00F01499" w:rsidRPr="0065554C" w:rsidRDefault="00F01499" w:rsidP="00CE2603">
                  <w:pPr>
                    <w:tabs>
                      <w:tab w:val="clear" w:pos="851"/>
                    </w:tabs>
                    <w:spacing w:before="0" w:after="0"/>
                    <w:ind w:hanging="262"/>
                    <w:jc w:val="center"/>
                    <w:rPr>
                      <w:rFonts w:asciiTheme="minorHAnsi" w:hAnsiTheme="minorHAnsi"/>
                      <w:lang w:val="es-ES"/>
                    </w:rPr>
                  </w:pPr>
                  <w:r w:rsidRPr="0065554C">
                    <w:rPr>
                      <w:rFonts w:asciiTheme="minorHAnsi" w:hAnsiTheme="minorHAnsi"/>
                      <w:lang w:val="es-ES"/>
                    </w:rPr>
                    <w:t>CELs</w:t>
                  </w:r>
                  <w:r w:rsidR="00EB7A0F" w:rsidRPr="0065554C">
                    <w:rPr>
                      <w:rFonts w:asciiTheme="minorHAnsi" w:hAnsiTheme="minorHAnsi"/>
                      <w:lang w:val="es-ES"/>
                    </w:rPr>
                    <w:t xml:space="preserve"> (CEL</w:t>
                  </w:r>
                  <w:r w:rsidR="00B13ADB" w:rsidRPr="0065554C">
                    <w:rPr>
                      <w:rFonts w:asciiTheme="minorHAnsi" w:hAnsiTheme="minorHAnsi"/>
                      <w:lang w:val="es-ES"/>
                    </w:rPr>
                    <w:t>s</w:t>
                  </w:r>
                  <w:r w:rsidR="00EB7A0F" w:rsidRPr="0065554C">
                    <w:rPr>
                      <w:rFonts w:asciiTheme="minorHAnsi" w:hAnsiTheme="minorHAnsi"/>
                      <w:lang w:val="es-ES"/>
                    </w:rPr>
                    <w:t>/Año)</w:t>
                  </w:r>
                </w:p>
              </w:tc>
            </w:tr>
            <w:tr w:rsidR="0065554C" w:rsidRPr="0065554C" w14:paraId="5C6764F4" w14:textId="77777777" w:rsidTr="00692BB5">
              <w:trPr>
                <w:trHeight w:val="335"/>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456B16E7" w14:textId="77777777" w:rsidR="00F01499" w:rsidRPr="0065554C" w:rsidRDefault="00F01499" w:rsidP="00CE2603">
                  <w:pPr>
                    <w:tabs>
                      <w:tab w:val="clear" w:pos="851"/>
                    </w:tabs>
                    <w:spacing w:before="0" w:after="0"/>
                    <w:ind w:hanging="262"/>
                    <w:jc w:val="center"/>
                    <w:rPr>
                      <w:rFonts w:asciiTheme="minorHAnsi" w:hAnsiTheme="minorHAnsi"/>
                      <w:lang w:val="es-ES"/>
                    </w:rPr>
                  </w:pPr>
                  <w:r w:rsidRPr="0065554C">
                    <w:rPr>
                      <w:rFonts w:asciiTheme="minorHAnsi" w:hAnsiTheme="minorHAnsi"/>
                      <w:lang w:val="es-ES"/>
                    </w:rPr>
                    <w:t>1</w:t>
                  </w:r>
                  <w:r w:rsidR="00EB7A0F" w:rsidRPr="0065554C">
                    <w:rPr>
                      <w:rFonts w:asciiTheme="minorHAnsi" w:hAnsiTheme="minorHAnsi"/>
                      <w:lang w:val="es-ES"/>
                    </w:rPr>
                    <w:t>,</w:t>
                  </w:r>
                  <w:r w:rsidRPr="0065554C">
                    <w:rPr>
                      <w:rFonts w:asciiTheme="minorHAnsi" w:hAnsiTheme="minorHAnsi"/>
                      <w:lang w:val="es-ES"/>
                    </w:rPr>
                    <w:t>483.10</w:t>
                  </w:r>
                </w:p>
              </w:tc>
              <w:tc>
                <w:tcPr>
                  <w:tcW w:w="1843" w:type="dxa"/>
                  <w:tcBorders>
                    <w:top w:val="nil"/>
                    <w:left w:val="nil"/>
                    <w:bottom w:val="single" w:sz="4" w:space="0" w:color="auto"/>
                    <w:right w:val="single" w:sz="4" w:space="0" w:color="auto"/>
                  </w:tcBorders>
                  <w:shd w:val="clear" w:color="auto" w:fill="auto"/>
                  <w:noWrap/>
                  <w:vAlign w:val="bottom"/>
                  <w:hideMark/>
                </w:tcPr>
                <w:p w14:paraId="385A6BA4" w14:textId="77777777" w:rsidR="00F01499" w:rsidRPr="0065554C" w:rsidRDefault="00F01499" w:rsidP="00CE2603">
                  <w:pPr>
                    <w:tabs>
                      <w:tab w:val="clear" w:pos="851"/>
                    </w:tabs>
                    <w:spacing w:before="0" w:after="0"/>
                    <w:ind w:hanging="262"/>
                    <w:jc w:val="center"/>
                    <w:rPr>
                      <w:rFonts w:asciiTheme="minorHAnsi" w:hAnsiTheme="minorHAnsi"/>
                      <w:lang w:val="es-ES"/>
                    </w:rPr>
                  </w:pPr>
                  <w:r w:rsidRPr="0065554C">
                    <w:rPr>
                      <w:rFonts w:asciiTheme="minorHAnsi" w:hAnsiTheme="minorHAnsi"/>
                      <w:lang w:val="es-ES"/>
                    </w:rPr>
                    <w:t>10,629,911.25</w:t>
                  </w:r>
                </w:p>
              </w:tc>
              <w:tc>
                <w:tcPr>
                  <w:tcW w:w="1748" w:type="dxa"/>
                  <w:tcBorders>
                    <w:top w:val="nil"/>
                    <w:left w:val="nil"/>
                    <w:bottom w:val="single" w:sz="4" w:space="0" w:color="auto"/>
                    <w:right w:val="single" w:sz="4" w:space="0" w:color="auto"/>
                  </w:tcBorders>
                  <w:shd w:val="clear" w:color="auto" w:fill="auto"/>
                  <w:noWrap/>
                  <w:vAlign w:val="bottom"/>
                  <w:hideMark/>
                </w:tcPr>
                <w:p w14:paraId="7FE0569B" w14:textId="77777777" w:rsidR="00F01499" w:rsidRPr="0065554C" w:rsidRDefault="00F01499" w:rsidP="00CE2603">
                  <w:pPr>
                    <w:tabs>
                      <w:tab w:val="clear" w:pos="851"/>
                    </w:tabs>
                    <w:spacing w:before="0" w:after="0"/>
                    <w:ind w:hanging="262"/>
                    <w:jc w:val="center"/>
                    <w:rPr>
                      <w:rFonts w:asciiTheme="minorHAnsi" w:hAnsiTheme="minorHAnsi"/>
                      <w:lang w:val="es-ES"/>
                    </w:rPr>
                  </w:pPr>
                  <w:r w:rsidRPr="0065554C">
                    <w:rPr>
                      <w:rFonts w:asciiTheme="minorHAnsi" w:hAnsiTheme="minorHAnsi"/>
                      <w:lang w:val="es-ES"/>
                    </w:rPr>
                    <w:t>10,629,911</w:t>
                  </w:r>
                </w:p>
              </w:tc>
            </w:tr>
          </w:tbl>
          <w:p w14:paraId="0598CD2B" w14:textId="77777777" w:rsidR="00F01499" w:rsidRPr="0065554C" w:rsidRDefault="00F01499" w:rsidP="00CE2603">
            <w:pPr>
              <w:ind w:left="360" w:right="333" w:hanging="262"/>
              <w:rPr>
                <w:rFonts w:asciiTheme="minorHAnsi" w:eastAsia="Calibri" w:hAnsiTheme="minorHAnsi"/>
                <w:lang w:val="es-MX"/>
              </w:rPr>
            </w:pPr>
          </w:p>
          <w:p w14:paraId="5203AD02" w14:textId="77777777" w:rsidR="00F01499" w:rsidRPr="0065554C" w:rsidRDefault="00F01499" w:rsidP="00CE2603">
            <w:pPr>
              <w:ind w:left="720" w:right="333" w:hanging="262"/>
              <w:jc w:val="center"/>
              <w:rPr>
                <w:rFonts w:asciiTheme="minorHAnsi" w:eastAsia="Calibri" w:hAnsiTheme="minorHAnsi"/>
                <w:lang w:val="es-MX"/>
              </w:rPr>
            </w:pPr>
          </w:p>
          <w:p w14:paraId="7210FD04" w14:textId="77777777" w:rsidR="00B13ADB" w:rsidRPr="0065554C" w:rsidRDefault="00B13ADB" w:rsidP="00CE2603">
            <w:pPr>
              <w:tabs>
                <w:tab w:val="clear" w:pos="851"/>
                <w:tab w:val="left" w:pos="741"/>
              </w:tabs>
              <w:ind w:left="741" w:right="333"/>
              <w:rPr>
                <w:rFonts w:asciiTheme="minorHAnsi" w:eastAsia="Calibri" w:hAnsiTheme="minorHAnsi"/>
                <w:lang w:val="es-MX"/>
              </w:rPr>
            </w:pPr>
          </w:p>
          <w:p w14:paraId="10C773BF" w14:textId="77777777" w:rsidR="00F01499" w:rsidRPr="0065554C" w:rsidRDefault="00F01499" w:rsidP="00CE2603">
            <w:pPr>
              <w:tabs>
                <w:tab w:val="clear" w:pos="851"/>
                <w:tab w:val="left" w:pos="741"/>
              </w:tabs>
              <w:ind w:left="741" w:right="333"/>
              <w:rPr>
                <w:rFonts w:asciiTheme="minorHAnsi" w:eastAsia="Calibri" w:hAnsiTheme="minorHAnsi"/>
                <w:lang w:val="es-MX"/>
              </w:rPr>
            </w:pPr>
            <w:r w:rsidRPr="0065554C">
              <w:rPr>
                <w:rFonts w:asciiTheme="minorHAnsi" w:eastAsia="Calibri" w:hAnsiTheme="minorHAnsi"/>
                <w:lang w:val="es-MX"/>
              </w:rPr>
              <w:t>Al existir oferta de compra aceptada de CELs, la ERC</w:t>
            </w:r>
            <w:r w:rsidR="00B13ADB" w:rsidRPr="0065554C">
              <w:rPr>
                <w:rFonts w:asciiTheme="minorHAnsi" w:eastAsia="Calibri" w:hAnsiTheme="minorHAnsi"/>
                <w:lang w:val="es-MX"/>
              </w:rPr>
              <w:t xml:space="preserve"> distinta al SSB</w:t>
            </w:r>
            <w:r w:rsidRPr="0065554C">
              <w:rPr>
                <w:rFonts w:asciiTheme="minorHAnsi" w:eastAsia="Calibri" w:hAnsiTheme="minorHAnsi"/>
                <w:lang w:val="es-MX"/>
              </w:rPr>
              <w:t xml:space="preserve"> presenta una oferta de compra </w:t>
            </w:r>
            <w:r w:rsidR="00EB7A0F" w:rsidRPr="0065554C">
              <w:rPr>
                <w:rFonts w:asciiTheme="minorHAnsi" w:eastAsia="Calibri" w:hAnsiTheme="minorHAnsi"/>
                <w:lang w:val="es-MX"/>
              </w:rPr>
              <w:t xml:space="preserve">donde establece que el número de CELs que desea comprar equivalen a </w:t>
            </w:r>
            <w:r w:rsidRPr="0065554C">
              <w:rPr>
                <w:rFonts w:asciiTheme="minorHAnsi" w:eastAsia="Calibri" w:hAnsiTheme="minorHAnsi"/>
                <w:lang w:val="es-MX"/>
              </w:rPr>
              <w:t>85</w:t>
            </w:r>
            <w:r w:rsidR="00EB7A0F" w:rsidRPr="0065554C">
              <w:rPr>
                <w:rFonts w:asciiTheme="minorHAnsi" w:eastAsia="Calibri" w:hAnsiTheme="minorHAnsi"/>
                <w:lang w:val="es-MX"/>
              </w:rPr>
              <w:t>,</w:t>
            </w:r>
            <w:r w:rsidRPr="0065554C">
              <w:rPr>
                <w:rFonts w:asciiTheme="minorHAnsi" w:eastAsia="Calibri" w:hAnsiTheme="minorHAnsi"/>
                <w:lang w:val="es-MX"/>
              </w:rPr>
              <w:t xml:space="preserve">039.29 CELs. </w:t>
            </w:r>
            <w:r w:rsidR="00EB7A0F" w:rsidRPr="0065554C">
              <w:rPr>
                <w:rFonts w:asciiTheme="minorHAnsi" w:eastAsia="Calibri" w:hAnsiTheme="minorHAnsi"/>
                <w:lang w:val="es-MX"/>
              </w:rPr>
              <w:t xml:space="preserve">Con </w:t>
            </w:r>
            <w:r w:rsidR="00EB7A0F" w:rsidRPr="0065554C">
              <w:rPr>
                <w:rFonts w:asciiTheme="minorHAnsi" w:eastAsia="Calibri" w:hAnsiTheme="minorHAnsi"/>
                <w:lang w:val="es-MX"/>
              </w:rPr>
              <w:lastRenderedPageBreak/>
              <w:t xml:space="preserve">base en esta información, el </w:t>
            </w:r>
            <w:r w:rsidRPr="0065554C">
              <w:rPr>
                <w:rFonts w:asciiTheme="minorHAnsi" w:eastAsia="Calibri" w:hAnsiTheme="minorHAnsi"/>
                <w:lang w:val="es-MX"/>
              </w:rPr>
              <w:t xml:space="preserve">CENACE calcula que esta cantidad corresponde al 0.8% de la cantidad total de </w:t>
            </w:r>
            <w:r w:rsidR="00EB7A0F" w:rsidRPr="0065554C">
              <w:rPr>
                <w:rFonts w:asciiTheme="minorHAnsi" w:eastAsia="Calibri" w:hAnsiTheme="minorHAnsi"/>
                <w:lang w:val="es-MX"/>
              </w:rPr>
              <w:t xml:space="preserve">la Oferta </w:t>
            </w:r>
            <w:r w:rsidRPr="0065554C">
              <w:rPr>
                <w:rFonts w:asciiTheme="minorHAnsi" w:eastAsia="Calibri" w:hAnsiTheme="minorHAnsi"/>
                <w:lang w:val="es-MX"/>
              </w:rPr>
              <w:t xml:space="preserve">de </w:t>
            </w:r>
            <w:r w:rsidR="00EB7A0F" w:rsidRPr="0065554C">
              <w:rPr>
                <w:rFonts w:asciiTheme="minorHAnsi" w:eastAsia="Calibri" w:hAnsiTheme="minorHAnsi"/>
                <w:lang w:val="es-MX"/>
              </w:rPr>
              <w:t xml:space="preserve">Compra Aceptada </w:t>
            </w:r>
            <w:r w:rsidR="00B13ADB" w:rsidRPr="0065554C">
              <w:rPr>
                <w:rFonts w:asciiTheme="minorHAnsi" w:eastAsia="Calibri" w:hAnsiTheme="minorHAnsi"/>
                <w:lang w:val="es-MX"/>
              </w:rPr>
              <w:t xml:space="preserve">de SSB </w:t>
            </w:r>
            <w:r w:rsidRPr="0065554C">
              <w:rPr>
                <w:rFonts w:asciiTheme="minorHAnsi" w:eastAsia="Calibri" w:hAnsiTheme="minorHAnsi"/>
                <w:lang w:val="es-MX"/>
              </w:rPr>
              <w:t>para dicho producto</w:t>
            </w:r>
            <w:r w:rsidR="00EB7A0F" w:rsidRPr="0065554C">
              <w:rPr>
                <w:rFonts w:asciiTheme="minorHAnsi" w:eastAsia="Calibri" w:hAnsiTheme="minorHAnsi"/>
                <w:lang w:val="es-MX"/>
              </w:rPr>
              <w:t>, c</w:t>
            </w:r>
            <w:r w:rsidRPr="0065554C">
              <w:rPr>
                <w:rFonts w:asciiTheme="minorHAnsi" w:eastAsia="Calibri" w:hAnsiTheme="minorHAnsi"/>
                <w:lang w:val="es-MX"/>
              </w:rPr>
              <w:t xml:space="preserve">on lo cual cumple con las restricciones mínimas del numeral 4.4.2 de las Bases de Licitación.   La cantidad de </w:t>
            </w:r>
            <w:r w:rsidR="00EB7A0F" w:rsidRPr="0065554C">
              <w:rPr>
                <w:rFonts w:asciiTheme="minorHAnsi" w:eastAsia="Calibri" w:hAnsiTheme="minorHAnsi"/>
                <w:lang w:val="es-MX"/>
              </w:rPr>
              <w:t xml:space="preserve">Energía Eléctrica Acumulable </w:t>
            </w:r>
            <w:r w:rsidRPr="0065554C">
              <w:rPr>
                <w:rFonts w:asciiTheme="minorHAnsi" w:eastAsia="Calibri" w:hAnsiTheme="minorHAnsi"/>
                <w:lang w:val="es-MX"/>
              </w:rPr>
              <w:t xml:space="preserve">y </w:t>
            </w:r>
            <w:r w:rsidR="00EB7A0F" w:rsidRPr="0065554C">
              <w:rPr>
                <w:rFonts w:asciiTheme="minorHAnsi" w:eastAsia="Calibri" w:hAnsiTheme="minorHAnsi"/>
                <w:lang w:val="es-MX"/>
              </w:rPr>
              <w:t xml:space="preserve">Potencia </w:t>
            </w:r>
            <w:r w:rsidRPr="0065554C">
              <w:rPr>
                <w:rFonts w:asciiTheme="minorHAnsi" w:eastAsia="Calibri" w:hAnsiTheme="minorHAnsi"/>
                <w:lang w:val="es-MX"/>
              </w:rPr>
              <w:t xml:space="preserve">se calcula </w:t>
            </w:r>
            <w:r w:rsidR="00EB7A0F" w:rsidRPr="0065554C">
              <w:rPr>
                <w:rFonts w:asciiTheme="minorHAnsi" w:eastAsia="Calibri" w:hAnsiTheme="minorHAnsi"/>
                <w:lang w:val="es-MX"/>
              </w:rPr>
              <w:t>de manera automática usando el porcentaje calculado por el CENACE</w:t>
            </w:r>
            <w:r w:rsidRPr="0065554C">
              <w:rPr>
                <w:rFonts w:asciiTheme="minorHAnsi" w:eastAsia="Calibri" w:hAnsiTheme="minorHAnsi"/>
                <w:lang w:val="es-MX"/>
              </w:rPr>
              <w:t xml:space="preserve">. </w:t>
            </w:r>
            <w:r w:rsidR="00EB7A0F" w:rsidRPr="0065554C">
              <w:rPr>
                <w:rFonts w:asciiTheme="minorHAnsi" w:eastAsia="Calibri" w:hAnsiTheme="minorHAnsi"/>
                <w:lang w:val="es-MX"/>
              </w:rPr>
              <w:t>De esta manera, la O</w:t>
            </w:r>
            <w:r w:rsidRPr="0065554C">
              <w:rPr>
                <w:rFonts w:asciiTheme="minorHAnsi" w:eastAsia="Calibri" w:hAnsiTheme="minorHAnsi"/>
                <w:lang w:val="es-MX"/>
              </w:rPr>
              <w:t xml:space="preserve">ferta de </w:t>
            </w:r>
            <w:r w:rsidR="00EB7A0F" w:rsidRPr="0065554C">
              <w:rPr>
                <w:rFonts w:asciiTheme="minorHAnsi" w:eastAsia="Calibri" w:hAnsiTheme="minorHAnsi"/>
                <w:lang w:val="es-MX"/>
              </w:rPr>
              <w:t xml:space="preserve">Compra </w:t>
            </w:r>
            <w:r w:rsidRPr="0065554C">
              <w:rPr>
                <w:rFonts w:asciiTheme="minorHAnsi" w:eastAsia="Calibri" w:hAnsiTheme="minorHAnsi"/>
                <w:lang w:val="es-MX"/>
              </w:rPr>
              <w:t xml:space="preserve">de la ERC </w:t>
            </w:r>
            <w:r w:rsidR="00B13ADB" w:rsidRPr="0065554C">
              <w:rPr>
                <w:rFonts w:asciiTheme="minorHAnsi" w:eastAsia="Calibri" w:hAnsiTheme="minorHAnsi"/>
                <w:lang w:val="es-MX"/>
              </w:rPr>
              <w:t xml:space="preserve">distinta al SSB </w:t>
            </w:r>
            <w:r w:rsidRPr="0065554C">
              <w:rPr>
                <w:rFonts w:asciiTheme="minorHAnsi" w:eastAsia="Calibri" w:hAnsiTheme="minorHAnsi"/>
                <w:lang w:val="es-MX"/>
              </w:rPr>
              <w:t>estaría compuesta por las siguientes cantidades</w:t>
            </w:r>
            <w:r w:rsidR="00A17E4B" w:rsidRPr="0065554C">
              <w:rPr>
                <w:rFonts w:asciiTheme="minorHAnsi" w:eastAsia="Calibri" w:hAnsiTheme="minorHAnsi"/>
                <w:lang w:val="es-MX"/>
              </w:rPr>
              <w:t xml:space="preserve">: </w:t>
            </w:r>
          </w:p>
          <w:tbl>
            <w:tblPr>
              <w:tblpPr w:leftFromText="141" w:rightFromText="141" w:vertAnchor="text" w:horzAnchor="margin" w:tblpXSpec="center" w:tblpY="83"/>
              <w:tblOverlap w:val="never"/>
              <w:tblW w:w="3830" w:type="dxa"/>
              <w:tblCellMar>
                <w:left w:w="70" w:type="dxa"/>
                <w:right w:w="70" w:type="dxa"/>
              </w:tblCellMar>
              <w:tblLook w:val="04A0" w:firstRow="1" w:lastRow="0" w:firstColumn="1" w:lastColumn="0" w:noHBand="0" w:noVBand="1"/>
            </w:tblPr>
            <w:tblGrid>
              <w:gridCol w:w="988"/>
              <w:gridCol w:w="1421"/>
              <w:gridCol w:w="1421"/>
            </w:tblGrid>
            <w:tr w:rsidR="0065554C" w:rsidRPr="0065554C" w14:paraId="2E70517E" w14:textId="77777777" w:rsidTr="00692BB5">
              <w:trPr>
                <w:trHeight w:val="290"/>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B03270" w14:textId="77777777" w:rsidR="00F17064" w:rsidRPr="0065554C" w:rsidRDefault="00F01499" w:rsidP="00B13ADB">
                  <w:pPr>
                    <w:tabs>
                      <w:tab w:val="clear" w:pos="851"/>
                    </w:tabs>
                    <w:spacing w:before="0" w:after="0"/>
                    <w:ind w:hanging="262"/>
                    <w:jc w:val="center"/>
                    <w:rPr>
                      <w:rFonts w:asciiTheme="minorHAnsi" w:hAnsiTheme="minorHAnsi"/>
                      <w:lang w:val="es-ES"/>
                    </w:rPr>
                  </w:pPr>
                  <w:r w:rsidRPr="0065554C">
                    <w:rPr>
                      <w:rFonts w:asciiTheme="minorHAnsi" w:hAnsiTheme="minorHAnsi"/>
                      <w:lang w:val="es-ES"/>
                    </w:rPr>
                    <w:t>Potencia</w:t>
                  </w:r>
                  <w:r w:rsidR="00F17064" w:rsidRPr="0065554C">
                    <w:rPr>
                      <w:rFonts w:asciiTheme="minorHAnsi" w:hAnsiTheme="minorHAnsi"/>
                      <w:lang w:val="es-ES"/>
                    </w:rPr>
                    <w:t xml:space="preserve"> </w:t>
                  </w:r>
                </w:p>
                <w:p w14:paraId="588BDA89" w14:textId="77777777" w:rsidR="00F01499" w:rsidRPr="0065554C" w:rsidRDefault="00F17064" w:rsidP="00B13ADB">
                  <w:pPr>
                    <w:tabs>
                      <w:tab w:val="clear" w:pos="851"/>
                    </w:tabs>
                    <w:spacing w:before="0" w:after="0"/>
                    <w:ind w:hanging="262"/>
                    <w:jc w:val="center"/>
                    <w:rPr>
                      <w:rFonts w:asciiTheme="minorHAnsi" w:hAnsiTheme="minorHAnsi"/>
                      <w:lang w:val="es-ES"/>
                    </w:rPr>
                  </w:pPr>
                  <w:r w:rsidRPr="0065554C">
                    <w:rPr>
                      <w:rFonts w:asciiTheme="minorHAnsi" w:hAnsiTheme="minorHAnsi"/>
                      <w:lang w:val="es-ES"/>
                    </w:rPr>
                    <w:t>(MW)</w:t>
                  </w:r>
                </w:p>
              </w:tc>
              <w:tc>
                <w:tcPr>
                  <w:tcW w:w="1421" w:type="dxa"/>
                  <w:tcBorders>
                    <w:top w:val="single" w:sz="4" w:space="0" w:color="auto"/>
                    <w:left w:val="nil"/>
                    <w:bottom w:val="single" w:sz="4" w:space="0" w:color="auto"/>
                    <w:right w:val="single" w:sz="4" w:space="0" w:color="auto"/>
                  </w:tcBorders>
                  <w:shd w:val="clear" w:color="auto" w:fill="auto"/>
                  <w:noWrap/>
                  <w:vAlign w:val="bottom"/>
                  <w:hideMark/>
                </w:tcPr>
                <w:p w14:paraId="084BB089" w14:textId="77777777" w:rsidR="00B13ADB" w:rsidRPr="0065554C" w:rsidRDefault="00F17064" w:rsidP="00CE2603">
                  <w:pPr>
                    <w:tabs>
                      <w:tab w:val="clear" w:pos="851"/>
                    </w:tabs>
                    <w:spacing w:before="0" w:after="0"/>
                    <w:ind w:hanging="262"/>
                    <w:jc w:val="center"/>
                    <w:rPr>
                      <w:rFonts w:asciiTheme="minorHAnsi" w:hAnsiTheme="minorHAnsi"/>
                      <w:lang w:val="es-ES"/>
                    </w:rPr>
                  </w:pPr>
                  <w:r w:rsidRPr="0065554C">
                    <w:rPr>
                      <w:rFonts w:asciiTheme="minorHAnsi" w:hAnsiTheme="minorHAnsi"/>
                      <w:lang w:val="es-ES"/>
                    </w:rPr>
                    <w:t xml:space="preserve"> EEA </w:t>
                  </w:r>
                </w:p>
                <w:p w14:paraId="5AC0276C" w14:textId="77777777" w:rsidR="00F01499" w:rsidRPr="0065554C" w:rsidRDefault="00F17064" w:rsidP="00CE2603">
                  <w:pPr>
                    <w:tabs>
                      <w:tab w:val="clear" w:pos="851"/>
                    </w:tabs>
                    <w:spacing w:before="0" w:after="0"/>
                    <w:ind w:hanging="262"/>
                    <w:jc w:val="center"/>
                    <w:rPr>
                      <w:rFonts w:asciiTheme="minorHAnsi" w:hAnsiTheme="minorHAnsi"/>
                      <w:lang w:val="es-ES"/>
                    </w:rPr>
                  </w:pPr>
                  <w:r w:rsidRPr="0065554C">
                    <w:rPr>
                      <w:rFonts w:asciiTheme="minorHAnsi" w:hAnsiTheme="minorHAnsi"/>
                      <w:lang w:val="es-ES"/>
                    </w:rPr>
                    <w:t>(MWh/año)</w:t>
                  </w:r>
                </w:p>
              </w:tc>
              <w:tc>
                <w:tcPr>
                  <w:tcW w:w="1421" w:type="dxa"/>
                  <w:tcBorders>
                    <w:top w:val="single" w:sz="4" w:space="0" w:color="auto"/>
                    <w:left w:val="nil"/>
                    <w:bottom w:val="single" w:sz="4" w:space="0" w:color="auto"/>
                    <w:right w:val="single" w:sz="4" w:space="0" w:color="auto"/>
                  </w:tcBorders>
                  <w:shd w:val="clear" w:color="auto" w:fill="auto"/>
                  <w:noWrap/>
                  <w:vAlign w:val="bottom"/>
                  <w:hideMark/>
                </w:tcPr>
                <w:p w14:paraId="18B54828" w14:textId="77777777" w:rsidR="00F17064" w:rsidRPr="0065554C" w:rsidRDefault="00F01499" w:rsidP="00CE2603">
                  <w:pPr>
                    <w:tabs>
                      <w:tab w:val="clear" w:pos="851"/>
                    </w:tabs>
                    <w:spacing w:before="0" w:after="0"/>
                    <w:ind w:hanging="262"/>
                    <w:jc w:val="center"/>
                    <w:rPr>
                      <w:rFonts w:asciiTheme="minorHAnsi" w:hAnsiTheme="minorHAnsi"/>
                      <w:lang w:val="es-ES"/>
                    </w:rPr>
                  </w:pPr>
                  <w:r w:rsidRPr="0065554C">
                    <w:rPr>
                      <w:rFonts w:asciiTheme="minorHAnsi" w:hAnsiTheme="minorHAnsi"/>
                      <w:lang w:val="es-ES"/>
                    </w:rPr>
                    <w:t>CELs</w:t>
                  </w:r>
                  <w:r w:rsidR="00F17064" w:rsidRPr="0065554C">
                    <w:rPr>
                      <w:rFonts w:asciiTheme="minorHAnsi" w:hAnsiTheme="minorHAnsi"/>
                      <w:lang w:val="es-ES"/>
                    </w:rPr>
                    <w:t xml:space="preserve"> </w:t>
                  </w:r>
                </w:p>
                <w:p w14:paraId="7D9DEBE9" w14:textId="77777777" w:rsidR="00F01499" w:rsidRPr="0065554C" w:rsidRDefault="00F17064" w:rsidP="00CE2603">
                  <w:pPr>
                    <w:tabs>
                      <w:tab w:val="clear" w:pos="851"/>
                    </w:tabs>
                    <w:spacing w:before="0" w:after="0"/>
                    <w:ind w:hanging="262"/>
                    <w:jc w:val="center"/>
                    <w:rPr>
                      <w:rFonts w:asciiTheme="minorHAnsi" w:hAnsiTheme="minorHAnsi"/>
                      <w:lang w:val="es-ES"/>
                    </w:rPr>
                  </w:pPr>
                  <w:r w:rsidRPr="0065554C">
                    <w:rPr>
                      <w:rFonts w:asciiTheme="minorHAnsi" w:hAnsiTheme="minorHAnsi"/>
                      <w:lang w:val="es-ES"/>
                    </w:rPr>
                    <w:t>(CEL/Año)</w:t>
                  </w:r>
                </w:p>
              </w:tc>
            </w:tr>
            <w:tr w:rsidR="0065554C" w:rsidRPr="0065554C" w14:paraId="5EB907C6" w14:textId="77777777" w:rsidTr="00692BB5">
              <w:trPr>
                <w:trHeight w:val="290"/>
              </w:trPr>
              <w:tc>
                <w:tcPr>
                  <w:tcW w:w="988" w:type="dxa"/>
                  <w:tcBorders>
                    <w:top w:val="nil"/>
                    <w:left w:val="single" w:sz="4" w:space="0" w:color="auto"/>
                    <w:bottom w:val="single" w:sz="4" w:space="0" w:color="auto"/>
                    <w:right w:val="single" w:sz="4" w:space="0" w:color="auto"/>
                  </w:tcBorders>
                  <w:shd w:val="clear" w:color="auto" w:fill="auto"/>
                  <w:noWrap/>
                  <w:vAlign w:val="bottom"/>
                  <w:hideMark/>
                </w:tcPr>
                <w:p w14:paraId="25F30E64" w14:textId="77777777" w:rsidR="00F01499" w:rsidRPr="0065554C" w:rsidRDefault="00F01499" w:rsidP="00CE2603">
                  <w:pPr>
                    <w:tabs>
                      <w:tab w:val="clear" w:pos="851"/>
                    </w:tabs>
                    <w:spacing w:before="0" w:after="0"/>
                    <w:ind w:hanging="262"/>
                    <w:jc w:val="center"/>
                    <w:rPr>
                      <w:rFonts w:asciiTheme="minorHAnsi" w:hAnsiTheme="minorHAnsi"/>
                      <w:lang w:val="es-ES"/>
                    </w:rPr>
                  </w:pPr>
                  <w:r w:rsidRPr="0065554C">
                    <w:rPr>
                      <w:rFonts w:asciiTheme="minorHAnsi" w:hAnsiTheme="minorHAnsi"/>
                      <w:lang w:val="es-ES"/>
                    </w:rPr>
                    <w:t>11.8648</w:t>
                  </w:r>
                </w:p>
              </w:tc>
              <w:tc>
                <w:tcPr>
                  <w:tcW w:w="1421" w:type="dxa"/>
                  <w:tcBorders>
                    <w:top w:val="nil"/>
                    <w:left w:val="nil"/>
                    <w:bottom w:val="single" w:sz="4" w:space="0" w:color="auto"/>
                    <w:right w:val="single" w:sz="4" w:space="0" w:color="auto"/>
                  </w:tcBorders>
                  <w:shd w:val="clear" w:color="auto" w:fill="auto"/>
                  <w:noWrap/>
                  <w:vAlign w:val="bottom"/>
                  <w:hideMark/>
                </w:tcPr>
                <w:p w14:paraId="787BCDF8" w14:textId="77777777" w:rsidR="00F01499" w:rsidRPr="0065554C" w:rsidRDefault="00F01499" w:rsidP="00CE2603">
                  <w:pPr>
                    <w:tabs>
                      <w:tab w:val="clear" w:pos="851"/>
                    </w:tabs>
                    <w:spacing w:before="0" w:after="0"/>
                    <w:ind w:hanging="262"/>
                    <w:jc w:val="center"/>
                    <w:rPr>
                      <w:rFonts w:asciiTheme="minorHAnsi" w:hAnsiTheme="minorHAnsi"/>
                      <w:lang w:val="es-ES"/>
                    </w:rPr>
                  </w:pPr>
                  <w:r w:rsidRPr="0065554C">
                    <w:rPr>
                      <w:rFonts w:asciiTheme="minorHAnsi" w:eastAsia="Calibri" w:hAnsiTheme="minorHAnsi" w:cs="Times New Roman"/>
                      <w:szCs w:val="20"/>
                      <w:lang w:val="es-ES" w:bidi="ar-SA"/>
                    </w:rPr>
                    <w:t>85,039.29</w:t>
                  </w:r>
                </w:p>
              </w:tc>
              <w:tc>
                <w:tcPr>
                  <w:tcW w:w="1421" w:type="dxa"/>
                  <w:tcBorders>
                    <w:top w:val="nil"/>
                    <w:left w:val="nil"/>
                    <w:bottom w:val="single" w:sz="4" w:space="0" w:color="auto"/>
                    <w:right w:val="single" w:sz="4" w:space="0" w:color="auto"/>
                  </w:tcBorders>
                  <w:shd w:val="clear" w:color="auto" w:fill="auto"/>
                  <w:noWrap/>
                  <w:vAlign w:val="bottom"/>
                  <w:hideMark/>
                </w:tcPr>
                <w:p w14:paraId="40999369" w14:textId="77777777" w:rsidR="00F01499" w:rsidRPr="0065554C" w:rsidRDefault="00F01499" w:rsidP="00CE2603">
                  <w:pPr>
                    <w:tabs>
                      <w:tab w:val="clear" w:pos="851"/>
                    </w:tabs>
                    <w:spacing w:before="0" w:after="0"/>
                    <w:ind w:hanging="262"/>
                    <w:jc w:val="center"/>
                    <w:rPr>
                      <w:rFonts w:asciiTheme="minorHAnsi" w:hAnsiTheme="minorHAnsi"/>
                      <w:b/>
                      <w:lang w:val="es-ES"/>
                    </w:rPr>
                  </w:pPr>
                  <w:r w:rsidRPr="0065554C">
                    <w:rPr>
                      <w:rFonts w:asciiTheme="minorHAnsi" w:eastAsia="Calibri" w:hAnsiTheme="minorHAnsi" w:cs="Times New Roman"/>
                      <w:b/>
                      <w:szCs w:val="20"/>
                      <w:lang w:val="es-ES" w:bidi="ar-SA"/>
                    </w:rPr>
                    <w:t>85,039</w:t>
                  </w:r>
                </w:p>
              </w:tc>
            </w:tr>
          </w:tbl>
          <w:p w14:paraId="7B6C0E98" w14:textId="77777777" w:rsidR="00F01499" w:rsidRPr="0065554C" w:rsidRDefault="00F01499" w:rsidP="00CE2603">
            <w:pPr>
              <w:ind w:left="1068" w:right="333" w:hanging="262"/>
              <w:rPr>
                <w:rFonts w:asciiTheme="minorHAnsi" w:eastAsia="Calibri" w:hAnsiTheme="minorHAnsi"/>
                <w:lang w:val="es-MX"/>
              </w:rPr>
            </w:pPr>
          </w:p>
          <w:p w14:paraId="7B78CAFC" w14:textId="77777777" w:rsidR="00F01499" w:rsidRPr="0065554C" w:rsidRDefault="00F01499" w:rsidP="00CE2603">
            <w:pPr>
              <w:ind w:left="720" w:right="333" w:hanging="262"/>
              <w:rPr>
                <w:rFonts w:asciiTheme="minorHAnsi" w:eastAsia="Calibri" w:hAnsiTheme="minorHAnsi"/>
                <w:lang w:val="es-MX"/>
              </w:rPr>
            </w:pPr>
          </w:p>
          <w:p w14:paraId="641029CB" w14:textId="77777777" w:rsidR="00F01499" w:rsidRPr="0065554C" w:rsidRDefault="00F01499" w:rsidP="00D42E95">
            <w:pPr>
              <w:pStyle w:val="EjeNumer1er"/>
              <w:numPr>
                <w:ilvl w:val="0"/>
                <w:numId w:val="27"/>
              </w:numPr>
              <w:tabs>
                <w:tab w:val="clear" w:pos="851"/>
              </w:tabs>
              <w:spacing w:before="0" w:after="0"/>
              <w:ind w:hanging="262"/>
              <w:jc w:val="left"/>
            </w:pPr>
            <w:r w:rsidRPr="0065554C">
              <w:t xml:space="preserve">Suponga que la Oferta de Compra Aceptada del Suministrador de Servicios Básicos </w:t>
            </w:r>
            <w:r w:rsidR="00B13ADB" w:rsidRPr="0065554C">
              <w:t>se compone de la siguiente manera:</w:t>
            </w:r>
          </w:p>
          <w:tbl>
            <w:tblPr>
              <w:tblpPr w:leftFromText="141" w:rightFromText="141" w:vertAnchor="text" w:horzAnchor="margin" w:tblpXSpec="center" w:tblpY="83"/>
              <w:tblOverlap w:val="never"/>
              <w:tblW w:w="4042" w:type="dxa"/>
              <w:tblCellMar>
                <w:left w:w="70" w:type="dxa"/>
                <w:right w:w="70" w:type="dxa"/>
              </w:tblCellMar>
              <w:tblLook w:val="04A0" w:firstRow="1" w:lastRow="0" w:firstColumn="1" w:lastColumn="0" w:noHBand="0" w:noVBand="1"/>
            </w:tblPr>
            <w:tblGrid>
              <w:gridCol w:w="1200"/>
              <w:gridCol w:w="1421"/>
              <w:gridCol w:w="1421"/>
            </w:tblGrid>
            <w:tr w:rsidR="0065554C" w:rsidRPr="0065554C" w14:paraId="7E99105B" w14:textId="77777777" w:rsidTr="00AB1A24">
              <w:trPr>
                <w:trHeight w:val="290"/>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204183" w14:textId="77777777" w:rsidR="00F17064" w:rsidRPr="0065554C" w:rsidRDefault="00F17064" w:rsidP="00F17064">
                  <w:pPr>
                    <w:tabs>
                      <w:tab w:val="clear" w:pos="851"/>
                    </w:tabs>
                    <w:spacing w:before="0" w:after="0"/>
                    <w:ind w:hanging="262"/>
                    <w:jc w:val="center"/>
                    <w:rPr>
                      <w:rFonts w:asciiTheme="minorHAnsi" w:hAnsiTheme="minorHAnsi"/>
                      <w:lang w:val="es-ES"/>
                    </w:rPr>
                  </w:pPr>
                  <w:r w:rsidRPr="0065554C">
                    <w:rPr>
                      <w:rFonts w:asciiTheme="minorHAnsi" w:hAnsiTheme="minorHAnsi"/>
                      <w:lang w:val="es-ES"/>
                    </w:rPr>
                    <w:t xml:space="preserve">Potencia </w:t>
                  </w:r>
                </w:p>
                <w:p w14:paraId="7F7E2696" w14:textId="77777777" w:rsidR="00F17064" w:rsidRPr="0065554C" w:rsidRDefault="00F17064" w:rsidP="00B13ADB">
                  <w:pPr>
                    <w:tabs>
                      <w:tab w:val="clear" w:pos="851"/>
                    </w:tabs>
                    <w:spacing w:before="0" w:after="0"/>
                    <w:ind w:hanging="262"/>
                    <w:jc w:val="center"/>
                    <w:rPr>
                      <w:rFonts w:asciiTheme="minorHAnsi" w:hAnsiTheme="minorHAnsi"/>
                      <w:lang w:val="es-ES"/>
                    </w:rPr>
                  </w:pPr>
                  <w:r w:rsidRPr="0065554C">
                    <w:rPr>
                      <w:rFonts w:asciiTheme="minorHAnsi" w:hAnsiTheme="minorHAnsi"/>
                      <w:lang w:val="es-ES"/>
                    </w:rPr>
                    <w:t>(MW)</w:t>
                  </w:r>
                </w:p>
              </w:tc>
              <w:tc>
                <w:tcPr>
                  <w:tcW w:w="1421" w:type="dxa"/>
                  <w:tcBorders>
                    <w:top w:val="single" w:sz="4" w:space="0" w:color="auto"/>
                    <w:left w:val="nil"/>
                    <w:bottom w:val="single" w:sz="4" w:space="0" w:color="auto"/>
                    <w:right w:val="single" w:sz="4" w:space="0" w:color="auto"/>
                  </w:tcBorders>
                  <w:shd w:val="clear" w:color="auto" w:fill="auto"/>
                  <w:noWrap/>
                  <w:vAlign w:val="bottom"/>
                  <w:hideMark/>
                </w:tcPr>
                <w:p w14:paraId="259B4D31" w14:textId="77777777" w:rsidR="00B13ADB" w:rsidRPr="0065554C" w:rsidRDefault="00F17064" w:rsidP="00F17064">
                  <w:pPr>
                    <w:tabs>
                      <w:tab w:val="clear" w:pos="851"/>
                    </w:tabs>
                    <w:spacing w:before="0" w:after="0"/>
                    <w:ind w:hanging="262"/>
                    <w:jc w:val="center"/>
                    <w:rPr>
                      <w:rFonts w:asciiTheme="minorHAnsi" w:hAnsiTheme="minorHAnsi"/>
                      <w:lang w:val="es-ES"/>
                    </w:rPr>
                  </w:pPr>
                  <w:r w:rsidRPr="0065554C">
                    <w:rPr>
                      <w:rFonts w:asciiTheme="minorHAnsi" w:hAnsiTheme="minorHAnsi"/>
                      <w:lang w:val="es-ES"/>
                    </w:rPr>
                    <w:t xml:space="preserve"> EEA </w:t>
                  </w:r>
                </w:p>
                <w:p w14:paraId="51ED1EA7" w14:textId="77777777" w:rsidR="00F17064" w:rsidRPr="0065554C" w:rsidRDefault="00F17064" w:rsidP="00F17064">
                  <w:pPr>
                    <w:tabs>
                      <w:tab w:val="clear" w:pos="851"/>
                    </w:tabs>
                    <w:spacing w:before="0" w:after="0"/>
                    <w:ind w:hanging="262"/>
                    <w:jc w:val="center"/>
                    <w:rPr>
                      <w:rFonts w:asciiTheme="minorHAnsi" w:hAnsiTheme="minorHAnsi"/>
                      <w:lang w:val="es-ES"/>
                    </w:rPr>
                  </w:pPr>
                  <w:r w:rsidRPr="0065554C">
                    <w:rPr>
                      <w:rFonts w:asciiTheme="minorHAnsi" w:hAnsiTheme="minorHAnsi"/>
                      <w:lang w:val="es-ES"/>
                    </w:rPr>
                    <w:t>(MWh/año)</w:t>
                  </w:r>
                </w:p>
              </w:tc>
              <w:tc>
                <w:tcPr>
                  <w:tcW w:w="1421" w:type="dxa"/>
                  <w:tcBorders>
                    <w:top w:val="single" w:sz="4" w:space="0" w:color="auto"/>
                    <w:left w:val="nil"/>
                    <w:bottom w:val="single" w:sz="4" w:space="0" w:color="auto"/>
                    <w:right w:val="single" w:sz="4" w:space="0" w:color="auto"/>
                  </w:tcBorders>
                  <w:shd w:val="clear" w:color="auto" w:fill="auto"/>
                  <w:noWrap/>
                  <w:vAlign w:val="bottom"/>
                  <w:hideMark/>
                </w:tcPr>
                <w:p w14:paraId="10BDBBF2" w14:textId="77777777" w:rsidR="00F17064" w:rsidRPr="0065554C" w:rsidRDefault="00F17064" w:rsidP="00F17064">
                  <w:pPr>
                    <w:tabs>
                      <w:tab w:val="clear" w:pos="851"/>
                    </w:tabs>
                    <w:spacing w:before="0" w:after="0"/>
                    <w:ind w:hanging="262"/>
                    <w:jc w:val="center"/>
                    <w:rPr>
                      <w:rFonts w:asciiTheme="minorHAnsi" w:hAnsiTheme="minorHAnsi"/>
                      <w:lang w:val="es-ES"/>
                    </w:rPr>
                  </w:pPr>
                  <w:r w:rsidRPr="0065554C">
                    <w:rPr>
                      <w:rFonts w:asciiTheme="minorHAnsi" w:hAnsiTheme="minorHAnsi"/>
                      <w:lang w:val="es-ES"/>
                    </w:rPr>
                    <w:t xml:space="preserve">CELs </w:t>
                  </w:r>
                </w:p>
                <w:p w14:paraId="59DFED22" w14:textId="77777777" w:rsidR="00F17064" w:rsidRPr="0065554C" w:rsidRDefault="00F17064" w:rsidP="00F17064">
                  <w:pPr>
                    <w:tabs>
                      <w:tab w:val="clear" w:pos="851"/>
                    </w:tabs>
                    <w:spacing w:before="0" w:after="0"/>
                    <w:ind w:hanging="262"/>
                    <w:jc w:val="center"/>
                    <w:rPr>
                      <w:rFonts w:asciiTheme="minorHAnsi" w:hAnsiTheme="minorHAnsi"/>
                      <w:lang w:val="es-ES"/>
                    </w:rPr>
                  </w:pPr>
                  <w:r w:rsidRPr="0065554C">
                    <w:rPr>
                      <w:rFonts w:asciiTheme="minorHAnsi" w:hAnsiTheme="minorHAnsi"/>
                      <w:lang w:val="es-ES"/>
                    </w:rPr>
                    <w:t>(CEL/Año)</w:t>
                  </w:r>
                </w:p>
              </w:tc>
            </w:tr>
            <w:tr w:rsidR="0065554C" w:rsidRPr="0065554C" w14:paraId="5D079F0D" w14:textId="77777777" w:rsidTr="00AB1A24">
              <w:trPr>
                <w:trHeight w:val="290"/>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51157F8C" w14:textId="77777777" w:rsidR="00F01499" w:rsidRPr="0065554C" w:rsidRDefault="00F01499" w:rsidP="00CE2603">
                  <w:pPr>
                    <w:tabs>
                      <w:tab w:val="clear" w:pos="851"/>
                    </w:tabs>
                    <w:spacing w:before="0" w:after="0"/>
                    <w:ind w:hanging="262"/>
                    <w:jc w:val="center"/>
                    <w:rPr>
                      <w:rFonts w:asciiTheme="minorHAnsi" w:hAnsiTheme="minorHAnsi"/>
                      <w:lang w:val="es-ES"/>
                    </w:rPr>
                  </w:pPr>
                  <w:r w:rsidRPr="0065554C">
                    <w:rPr>
                      <w:rFonts w:asciiTheme="minorHAnsi" w:hAnsiTheme="minorHAnsi"/>
                      <w:lang w:val="es-ES"/>
                    </w:rPr>
                    <w:t>1</w:t>
                  </w:r>
                  <w:r w:rsidR="00B13ADB" w:rsidRPr="0065554C">
                    <w:rPr>
                      <w:rFonts w:asciiTheme="minorHAnsi" w:hAnsiTheme="minorHAnsi"/>
                      <w:lang w:val="es-ES"/>
                    </w:rPr>
                    <w:t>,</w:t>
                  </w:r>
                  <w:r w:rsidRPr="0065554C">
                    <w:rPr>
                      <w:rFonts w:asciiTheme="minorHAnsi" w:hAnsiTheme="minorHAnsi"/>
                      <w:lang w:val="es-ES"/>
                    </w:rPr>
                    <w:t>483.10</w:t>
                  </w:r>
                </w:p>
              </w:tc>
              <w:tc>
                <w:tcPr>
                  <w:tcW w:w="1421" w:type="dxa"/>
                  <w:tcBorders>
                    <w:top w:val="nil"/>
                    <w:left w:val="nil"/>
                    <w:bottom w:val="single" w:sz="4" w:space="0" w:color="auto"/>
                    <w:right w:val="single" w:sz="4" w:space="0" w:color="auto"/>
                  </w:tcBorders>
                  <w:shd w:val="clear" w:color="auto" w:fill="auto"/>
                  <w:noWrap/>
                  <w:vAlign w:val="bottom"/>
                  <w:hideMark/>
                </w:tcPr>
                <w:p w14:paraId="40CB0DE1" w14:textId="77777777" w:rsidR="00F01499" w:rsidRPr="0065554C" w:rsidRDefault="00F01499" w:rsidP="00CE2603">
                  <w:pPr>
                    <w:tabs>
                      <w:tab w:val="clear" w:pos="851"/>
                    </w:tabs>
                    <w:spacing w:before="0" w:after="0"/>
                    <w:ind w:hanging="262"/>
                    <w:jc w:val="center"/>
                    <w:rPr>
                      <w:rFonts w:asciiTheme="minorHAnsi" w:hAnsiTheme="minorHAnsi"/>
                      <w:lang w:val="es-ES"/>
                    </w:rPr>
                  </w:pPr>
                  <w:r w:rsidRPr="0065554C">
                    <w:rPr>
                      <w:rFonts w:asciiTheme="minorHAnsi" w:hAnsiTheme="minorHAnsi"/>
                      <w:lang w:val="es-ES"/>
                    </w:rPr>
                    <w:t>10,629,911.25</w:t>
                  </w:r>
                </w:p>
              </w:tc>
              <w:tc>
                <w:tcPr>
                  <w:tcW w:w="1421" w:type="dxa"/>
                  <w:tcBorders>
                    <w:top w:val="nil"/>
                    <w:left w:val="nil"/>
                    <w:bottom w:val="single" w:sz="4" w:space="0" w:color="auto"/>
                    <w:right w:val="single" w:sz="4" w:space="0" w:color="auto"/>
                  </w:tcBorders>
                  <w:shd w:val="clear" w:color="auto" w:fill="auto"/>
                  <w:noWrap/>
                  <w:vAlign w:val="bottom"/>
                  <w:hideMark/>
                </w:tcPr>
                <w:p w14:paraId="48E0396B" w14:textId="77777777" w:rsidR="00F01499" w:rsidRPr="0065554C" w:rsidRDefault="00F01499" w:rsidP="00CE2603">
                  <w:pPr>
                    <w:tabs>
                      <w:tab w:val="clear" w:pos="851"/>
                    </w:tabs>
                    <w:spacing w:before="0" w:after="0"/>
                    <w:ind w:hanging="262"/>
                    <w:jc w:val="center"/>
                    <w:rPr>
                      <w:rFonts w:asciiTheme="minorHAnsi" w:hAnsiTheme="minorHAnsi"/>
                      <w:lang w:val="es-ES"/>
                    </w:rPr>
                  </w:pPr>
                  <w:r w:rsidRPr="0065554C">
                    <w:rPr>
                      <w:rFonts w:asciiTheme="minorHAnsi" w:hAnsiTheme="minorHAnsi"/>
                      <w:lang w:val="es-ES"/>
                    </w:rPr>
                    <w:t>0</w:t>
                  </w:r>
                </w:p>
              </w:tc>
            </w:tr>
          </w:tbl>
          <w:p w14:paraId="086DA61E" w14:textId="77777777" w:rsidR="00F01499" w:rsidRPr="0065554C" w:rsidRDefault="00F01499" w:rsidP="00CE2603">
            <w:pPr>
              <w:ind w:left="360" w:right="333" w:hanging="262"/>
              <w:rPr>
                <w:rFonts w:asciiTheme="minorHAnsi" w:eastAsia="Calibri" w:hAnsiTheme="minorHAnsi"/>
                <w:lang w:val="es-MX"/>
              </w:rPr>
            </w:pPr>
          </w:p>
          <w:p w14:paraId="718A920E" w14:textId="77777777" w:rsidR="00F01499" w:rsidRPr="0065554C" w:rsidRDefault="00F01499" w:rsidP="00CE2603">
            <w:pPr>
              <w:ind w:left="720" w:right="333" w:hanging="262"/>
              <w:jc w:val="center"/>
              <w:rPr>
                <w:rFonts w:asciiTheme="minorHAnsi" w:eastAsia="Calibri" w:hAnsiTheme="minorHAnsi"/>
                <w:lang w:val="es-MX"/>
              </w:rPr>
            </w:pPr>
          </w:p>
          <w:p w14:paraId="6C121606" w14:textId="77777777" w:rsidR="00F17064" w:rsidRPr="0065554C" w:rsidRDefault="00F17064" w:rsidP="00CE2603">
            <w:pPr>
              <w:ind w:left="1068" w:right="333" w:hanging="43"/>
              <w:rPr>
                <w:rFonts w:asciiTheme="minorHAnsi" w:eastAsia="Calibri" w:hAnsiTheme="minorHAnsi"/>
                <w:lang w:val="es-MX"/>
              </w:rPr>
            </w:pPr>
          </w:p>
          <w:p w14:paraId="0CE3D699" w14:textId="77777777" w:rsidR="00F01499" w:rsidRPr="0065554C" w:rsidRDefault="00A17E4B" w:rsidP="00CE2603">
            <w:pPr>
              <w:ind w:left="1068" w:right="333" w:hanging="43"/>
              <w:rPr>
                <w:rFonts w:asciiTheme="minorHAnsi" w:eastAsia="Calibri" w:hAnsiTheme="minorHAnsi"/>
                <w:lang w:val="es-MX"/>
              </w:rPr>
            </w:pPr>
            <w:r w:rsidRPr="0065554C">
              <w:rPr>
                <w:rFonts w:asciiTheme="minorHAnsi" w:eastAsia="Calibri" w:hAnsiTheme="minorHAnsi"/>
                <w:lang w:val="es-MX"/>
              </w:rPr>
              <w:t xml:space="preserve"> </w:t>
            </w:r>
            <w:r w:rsidR="00F17064" w:rsidRPr="0065554C">
              <w:rPr>
                <w:rFonts w:asciiTheme="minorHAnsi" w:eastAsia="Calibri" w:hAnsiTheme="minorHAnsi"/>
                <w:lang w:val="es-MX"/>
              </w:rPr>
              <w:t xml:space="preserve">Dado que la Oferta de Compra Aceptada del SSB no contiene </w:t>
            </w:r>
            <w:r w:rsidR="00F01499" w:rsidRPr="0065554C">
              <w:rPr>
                <w:rFonts w:asciiTheme="minorHAnsi" w:eastAsia="Calibri" w:hAnsiTheme="minorHAnsi"/>
                <w:lang w:val="es-MX"/>
              </w:rPr>
              <w:t xml:space="preserve">CELs pero sí de </w:t>
            </w:r>
            <w:r w:rsidR="00F17064" w:rsidRPr="0065554C">
              <w:rPr>
                <w:rFonts w:asciiTheme="minorHAnsi" w:eastAsia="Calibri" w:hAnsiTheme="minorHAnsi"/>
                <w:lang w:val="es-MX"/>
              </w:rPr>
              <w:t>Potencia</w:t>
            </w:r>
            <w:r w:rsidR="00F01499" w:rsidRPr="0065554C">
              <w:rPr>
                <w:rFonts w:asciiTheme="minorHAnsi" w:eastAsia="Calibri" w:hAnsiTheme="minorHAnsi"/>
                <w:lang w:val="es-MX"/>
              </w:rPr>
              <w:t xml:space="preserve">, la ERC </w:t>
            </w:r>
            <w:r w:rsidR="00535BE0" w:rsidRPr="0065554C">
              <w:rPr>
                <w:rFonts w:asciiTheme="minorHAnsi" w:eastAsia="Calibri" w:hAnsiTheme="minorHAnsi"/>
                <w:lang w:val="es-MX"/>
              </w:rPr>
              <w:t xml:space="preserve">distinta al SSB </w:t>
            </w:r>
            <w:r w:rsidR="00F01499" w:rsidRPr="0065554C">
              <w:rPr>
                <w:rFonts w:asciiTheme="minorHAnsi" w:eastAsia="Calibri" w:hAnsiTheme="minorHAnsi"/>
                <w:lang w:val="es-MX"/>
              </w:rPr>
              <w:t xml:space="preserve">presenta una </w:t>
            </w:r>
            <w:r w:rsidR="00535BE0" w:rsidRPr="0065554C">
              <w:rPr>
                <w:rFonts w:asciiTheme="minorHAnsi" w:eastAsia="Calibri" w:hAnsiTheme="minorHAnsi"/>
                <w:lang w:val="es-MX"/>
              </w:rPr>
              <w:t>O</w:t>
            </w:r>
            <w:r w:rsidR="00F01499" w:rsidRPr="0065554C">
              <w:rPr>
                <w:rFonts w:asciiTheme="minorHAnsi" w:eastAsia="Calibri" w:hAnsiTheme="minorHAnsi"/>
                <w:lang w:val="es-MX"/>
              </w:rPr>
              <w:t xml:space="preserve">ferta de </w:t>
            </w:r>
            <w:r w:rsidR="00535BE0" w:rsidRPr="0065554C">
              <w:rPr>
                <w:rFonts w:asciiTheme="minorHAnsi" w:eastAsia="Calibri" w:hAnsiTheme="minorHAnsi"/>
                <w:lang w:val="es-MX"/>
              </w:rPr>
              <w:t>C</w:t>
            </w:r>
            <w:r w:rsidR="00F01499" w:rsidRPr="0065554C">
              <w:rPr>
                <w:rFonts w:asciiTheme="minorHAnsi" w:eastAsia="Calibri" w:hAnsiTheme="minorHAnsi"/>
                <w:lang w:val="es-MX"/>
              </w:rPr>
              <w:t xml:space="preserve">ompra de </w:t>
            </w:r>
            <w:r w:rsidR="00535BE0" w:rsidRPr="0065554C">
              <w:rPr>
                <w:rFonts w:asciiTheme="minorHAnsi" w:eastAsia="Calibri" w:hAnsiTheme="minorHAnsi"/>
                <w:lang w:val="es-MX"/>
              </w:rPr>
              <w:t>P</w:t>
            </w:r>
            <w:r w:rsidR="00F01499" w:rsidRPr="0065554C">
              <w:rPr>
                <w:rFonts w:asciiTheme="minorHAnsi" w:eastAsia="Calibri" w:hAnsiTheme="minorHAnsi"/>
                <w:lang w:val="es-MX"/>
              </w:rPr>
              <w:t xml:space="preserve">otencia de 59.324 MW. El CENACE calcula que esta cantidad corresponde al 4% de la cantidad total de </w:t>
            </w:r>
            <w:r w:rsidR="00F17064" w:rsidRPr="0065554C">
              <w:rPr>
                <w:rFonts w:asciiTheme="minorHAnsi" w:eastAsia="Calibri" w:hAnsiTheme="minorHAnsi"/>
                <w:lang w:val="es-MX"/>
              </w:rPr>
              <w:t xml:space="preserve">Oferta </w:t>
            </w:r>
            <w:r w:rsidR="00F01499" w:rsidRPr="0065554C">
              <w:rPr>
                <w:rFonts w:asciiTheme="minorHAnsi" w:eastAsia="Calibri" w:hAnsiTheme="minorHAnsi"/>
                <w:lang w:val="es-MX"/>
              </w:rPr>
              <w:t xml:space="preserve">de </w:t>
            </w:r>
            <w:r w:rsidR="00F17064" w:rsidRPr="0065554C">
              <w:rPr>
                <w:rFonts w:asciiTheme="minorHAnsi" w:eastAsia="Calibri" w:hAnsiTheme="minorHAnsi"/>
                <w:lang w:val="es-MX"/>
              </w:rPr>
              <w:t xml:space="preserve">Compra Aceptada </w:t>
            </w:r>
            <w:r w:rsidR="00535BE0" w:rsidRPr="0065554C">
              <w:rPr>
                <w:rFonts w:asciiTheme="minorHAnsi" w:eastAsia="Calibri" w:hAnsiTheme="minorHAnsi"/>
                <w:lang w:val="es-MX"/>
              </w:rPr>
              <w:t xml:space="preserve">de SSB </w:t>
            </w:r>
            <w:r w:rsidR="00F01499" w:rsidRPr="0065554C">
              <w:rPr>
                <w:rFonts w:asciiTheme="minorHAnsi" w:eastAsia="Calibri" w:hAnsiTheme="minorHAnsi"/>
                <w:lang w:val="es-MX"/>
              </w:rPr>
              <w:t>para dicho producto</w:t>
            </w:r>
            <w:r w:rsidR="00F17064" w:rsidRPr="0065554C">
              <w:rPr>
                <w:rFonts w:asciiTheme="minorHAnsi" w:eastAsia="Calibri" w:hAnsiTheme="minorHAnsi"/>
                <w:lang w:val="es-MX"/>
              </w:rPr>
              <w:t xml:space="preserve">, con </w:t>
            </w:r>
            <w:r w:rsidR="00F01499" w:rsidRPr="0065554C">
              <w:rPr>
                <w:rFonts w:asciiTheme="minorHAnsi" w:eastAsia="Calibri" w:hAnsiTheme="minorHAnsi"/>
                <w:lang w:val="es-MX"/>
              </w:rPr>
              <w:t xml:space="preserve">lo cual cumple con las restricciones mínimas del numeral 4.4.2 de las Bases de Licitación.   La cantidad de </w:t>
            </w:r>
            <w:r w:rsidR="00F17064" w:rsidRPr="0065554C">
              <w:rPr>
                <w:rFonts w:asciiTheme="minorHAnsi" w:eastAsia="Calibri" w:hAnsiTheme="minorHAnsi"/>
                <w:lang w:val="es-MX"/>
              </w:rPr>
              <w:t xml:space="preserve">Energía Eléctrica </w:t>
            </w:r>
            <w:r w:rsidR="00C17239" w:rsidRPr="0065554C">
              <w:rPr>
                <w:rFonts w:asciiTheme="minorHAnsi" w:eastAsia="Calibri" w:hAnsiTheme="minorHAnsi"/>
                <w:lang w:val="es-MX"/>
              </w:rPr>
              <w:t>Acumulable se</w:t>
            </w:r>
            <w:r w:rsidR="00F01499" w:rsidRPr="0065554C">
              <w:rPr>
                <w:rFonts w:asciiTheme="minorHAnsi" w:eastAsia="Calibri" w:hAnsiTheme="minorHAnsi"/>
                <w:lang w:val="es-MX"/>
              </w:rPr>
              <w:t xml:space="preserve"> calcula </w:t>
            </w:r>
            <w:r w:rsidR="00F17064" w:rsidRPr="0065554C">
              <w:rPr>
                <w:rFonts w:asciiTheme="minorHAnsi" w:eastAsia="Calibri" w:hAnsiTheme="minorHAnsi"/>
                <w:lang w:val="es-MX"/>
              </w:rPr>
              <w:t>de manera automática usando el porcentaje calculado por el CENACE</w:t>
            </w:r>
            <w:r w:rsidR="00F01499" w:rsidRPr="0065554C">
              <w:rPr>
                <w:rFonts w:asciiTheme="minorHAnsi" w:eastAsia="Calibri" w:hAnsiTheme="minorHAnsi"/>
                <w:lang w:val="es-MX"/>
              </w:rPr>
              <w:t>.</w:t>
            </w:r>
            <w:r w:rsidR="00F17064" w:rsidRPr="0065554C">
              <w:rPr>
                <w:rFonts w:asciiTheme="minorHAnsi" w:eastAsia="Calibri" w:hAnsiTheme="minorHAnsi"/>
                <w:lang w:val="es-MX"/>
              </w:rPr>
              <w:t xml:space="preserve"> De esta manera, la</w:t>
            </w:r>
            <w:r w:rsidR="00F01499" w:rsidRPr="0065554C">
              <w:rPr>
                <w:rFonts w:asciiTheme="minorHAnsi" w:eastAsia="Calibri" w:hAnsiTheme="minorHAnsi"/>
                <w:lang w:val="es-MX"/>
              </w:rPr>
              <w:t xml:space="preserve"> </w:t>
            </w:r>
            <w:r w:rsidR="00F17064" w:rsidRPr="0065554C">
              <w:rPr>
                <w:rFonts w:asciiTheme="minorHAnsi" w:eastAsia="Calibri" w:hAnsiTheme="minorHAnsi"/>
                <w:lang w:val="es-MX"/>
              </w:rPr>
              <w:t xml:space="preserve">Oferta </w:t>
            </w:r>
            <w:r w:rsidR="00F01499" w:rsidRPr="0065554C">
              <w:rPr>
                <w:rFonts w:asciiTheme="minorHAnsi" w:eastAsia="Calibri" w:hAnsiTheme="minorHAnsi"/>
                <w:lang w:val="es-MX"/>
              </w:rPr>
              <w:t xml:space="preserve">de </w:t>
            </w:r>
            <w:r w:rsidR="00F17064" w:rsidRPr="0065554C">
              <w:rPr>
                <w:rFonts w:asciiTheme="minorHAnsi" w:eastAsia="Calibri" w:hAnsiTheme="minorHAnsi"/>
                <w:lang w:val="es-MX"/>
              </w:rPr>
              <w:t xml:space="preserve">Compra </w:t>
            </w:r>
            <w:r w:rsidR="00F01499" w:rsidRPr="0065554C">
              <w:rPr>
                <w:rFonts w:asciiTheme="minorHAnsi" w:eastAsia="Calibri" w:hAnsiTheme="minorHAnsi"/>
                <w:lang w:val="es-MX"/>
              </w:rPr>
              <w:t>de la ERC</w:t>
            </w:r>
            <w:r w:rsidR="00C17239" w:rsidRPr="0065554C">
              <w:rPr>
                <w:rFonts w:asciiTheme="minorHAnsi" w:eastAsia="Calibri" w:hAnsiTheme="minorHAnsi"/>
                <w:lang w:val="es-MX"/>
              </w:rPr>
              <w:t xml:space="preserve"> distinta al SSB</w:t>
            </w:r>
            <w:r w:rsidR="00F01499" w:rsidRPr="0065554C">
              <w:rPr>
                <w:rFonts w:asciiTheme="minorHAnsi" w:eastAsia="Calibri" w:hAnsiTheme="minorHAnsi"/>
                <w:lang w:val="es-MX"/>
              </w:rPr>
              <w:t xml:space="preserve"> estaría compuesta por las siguientes cantidades</w:t>
            </w:r>
            <w:r w:rsidRPr="0065554C">
              <w:rPr>
                <w:rFonts w:asciiTheme="minorHAnsi" w:eastAsia="Calibri" w:hAnsiTheme="minorHAnsi"/>
                <w:lang w:val="es-MX"/>
              </w:rPr>
              <w:t xml:space="preserve">: </w:t>
            </w:r>
          </w:p>
          <w:tbl>
            <w:tblPr>
              <w:tblpPr w:leftFromText="141" w:rightFromText="141" w:vertAnchor="text" w:horzAnchor="margin" w:tblpXSpec="center" w:tblpY="83"/>
              <w:tblOverlap w:val="never"/>
              <w:tblW w:w="4042" w:type="dxa"/>
              <w:tblCellMar>
                <w:left w:w="70" w:type="dxa"/>
                <w:right w:w="70" w:type="dxa"/>
              </w:tblCellMar>
              <w:tblLook w:val="04A0" w:firstRow="1" w:lastRow="0" w:firstColumn="1" w:lastColumn="0" w:noHBand="0" w:noVBand="1"/>
            </w:tblPr>
            <w:tblGrid>
              <w:gridCol w:w="1200"/>
              <w:gridCol w:w="1421"/>
              <w:gridCol w:w="1421"/>
            </w:tblGrid>
            <w:tr w:rsidR="0065554C" w:rsidRPr="0065554C" w14:paraId="26EC9DC0" w14:textId="77777777" w:rsidTr="00AB1A24">
              <w:trPr>
                <w:trHeight w:val="290"/>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AC6D26" w14:textId="77777777" w:rsidR="00F17064" w:rsidRPr="0065554C" w:rsidRDefault="00F17064" w:rsidP="00F17064">
                  <w:pPr>
                    <w:tabs>
                      <w:tab w:val="clear" w:pos="851"/>
                    </w:tabs>
                    <w:spacing w:before="0" w:after="0"/>
                    <w:ind w:hanging="262"/>
                    <w:jc w:val="center"/>
                    <w:rPr>
                      <w:rFonts w:asciiTheme="minorHAnsi" w:hAnsiTheme="minorHAnsi"/>
                      <w:lang w:val="es-ES"/>
                    </w:rPr>
                  </w:pPr>
                  <w:r w:rsidRPr="0065554C">
                    <w:rPr>
                      <w:rFonts w:asciiTheme="minorHAnsi" w:hAnsiTheme="minorHAnsi"/>
                      <w:lang w:val="es-ES"/>
                    </w:rPr>
                    <w:t xml:space="preserve">Potencia </w:t>
                  </w:r>
                </w:p>
                <w:p w14:paraId="40E3FBCF" w14:textId="77777777" w:rsidR="00F17064" w:rsidRPr="0065554C" w:rsidRDefault="00F17064" w:rsidP="00C17239">
                  <w:pPr>
                    <w:tabs>
                      <w:tab w:val="clear" w:pos="851"/>
                    </w:tabs>
                    <w:spacing w:before="0" w:after="0"/>
                    <w:ind w:hanging="262"/>
                    <w:jc w:val="center"/>
                    <w:rPr>
                      <w:rFonts w:asciiTheme="minorHAnsi" w:hAnsiTheme="minorHAnsi"/>
                      <w:lang w:val="es-ES"/>
                    </w:rPr>
                  </w:pPr>
                  <w:r w:rsidRPr="0065554C">
                    <w:rPr>
                      <w:rFonts w:asciiTheme="minorHAnsi" w:hAnsiTheme="minorHAnsi"/>
                      <w:lang w:val="es-ES"/>
                    </w:rPr>
                    <w:t>(MW)</w:t>
                  </w:r>
                </w:p>
              </w:tc>
              <w:tc>
                <w:tcPr>
                  <w:tcW w:w="1421" w:type="dxa"/>
                  <w:tcBorders>
                    <w:top w:val="single" w:sz="4" w:space="0" w:color="auto"/>
                    <w:left w:val="nil"/>
                    <w:bottom w:val="single" w:sz="4" w:space="0" w:color="auto"/>
                    <w:right w:val="single" w:sz="4" w:space="0" w:color="auto"/>
                  </w:tcBorders>
                  <w:shd w:val="clear" w:color="auto" w:fill="auto"/>
                  <w:noWrap/>
                  <w:vAlign w:val="bottom"/>
                  <w:hideMark/>
                </w:tcPr>
                <w:p w14:paraId="0540061A" w14:textId="77777777" w:rsidR="00C17239" w:rsidRPr="0065554C" w:rsidRDefault="00F17064" w:rsidP="00F17064">
                  <w:pPr>
                    <w:tabs>
                      <w:tab w:val="clear" w:pos="851"/>
                    </w:tabs>
                    <w:spacing w:before="0" w:after="0"/>
                    <w:ind w:hanging="262"/>
                    <w:jc w:val="center"/>
                    <w:rPr>
                      <w:rFonts w:asciiTheme="minorHAnsi" w:hAnsiTheme="minorHAnsi"/>
                      <w:lang w:val="es-ES"/>
                    </w:rPr>
                  </w:pPr>
                  <w:r w:rsidRPr="0065554C">
                    <w:rPr>
                      <w:rFonts w:asciiTheme="minorHAnsi" w:hAnsiTheme="minorHAnsi"/>
                      <w:lang w:val="es-ES"/>
                    </w:rPr>
                    <w:t xml:space="preserve"> EEA </w:t>
                  </w:r>
                </w:p>
                <w:p w14:paraId="0436B504" w14:textId="77777777" w:rsidR="00F17064" w:rsidRPr="0065554C" w:rsidRDefault="00F17064" w:rsidP="00F17064">
                  <w:pPr>
                    <w:tabs>
                      <w:tab w:val="clear" w:pos="851"/>
                    </w:tabs>
                    <w:spacing w:before="0" w:after="0"/>
                    <w:ind w:hanging="262"/>
                    <w:jc w:val="center"/>
                    <w:rPr>
                      <w:rFonts w:asciiTheme="minorHAnsi" w:hAnsiTheme="minorHAnsi"/>
                      <w:lang w:val="es-ES"/>
                    </w:rPr>
                  </w:pPr>
                  <w:r w:rsidRPr="0065554C">
                    <w:rPr>
                      <w:rFonts w:asciiTheme="minorHAnsi" w:hAnsiTheme="minorHAnsi"/>
                      <w:lang w:val="es-ES"/>
                    </w:rPr>
                    <w:t>(MWh/año)</w:t>
                  </w:r>
                </w:p>
              </w:tc>
              <w:tc>
                <w:tcPr>
                  <w:tcW w:w="1421" w:type="dxa"/>
                  <w:tcBorders>
                    <w:top w:val="single" w:sz="4" w:space="0" w:color="auto"/>
                    <w:left w:val="nil"/>
                    <w:bottom w:val="single" w:sz="4" w:space="0" w:color="auto"/>
                    <w:right w:val="single" w:sz="4" w:space="0" w:color="auto"/>
                  </w:tcBorders>
                  <w:shd w:val="clear" w:color="auto" w:fill="auto"/>
                  <w:noWrap/>
                  <w:vAlign w:val="bottom"/>
                  <w:hideMark/>
                </w:tcPr>
                <w:p w14:paraId="41CB1C51" w14:textId="77777777" w:rsidR="00F17064" w:rsidRPr="0065554C" w:rsidRDefault="00F17064" w:rsidP="00F17064">
                  <w:pPr>
                    <w:tabs>
                      <w:tab w:val="clear" w:pos="851"/>
                    </w:tabs>
                    <w:spacing w:before="0" w:after="0"/>
                    <w:ind w:hanging="262"/>
                    <w:jc w:val="center"/>
                    <w:rPr>
                      <w:rFonts w:asciiTheme="minorHAnsi" w:hAnsiTheme="minorHAnsi"/>
                      <w:lang w:val="es-ES"/>
                    </w:rPr>
                  </w:pPr>
                  <w:r w:rsidRPr="0065554C">
                    <w:rPr>
                      <w:rFonts w:asciiTheme="minorHAnsi" w:hAnsiTheme="minorHAnsi"/>
                      <w:lang w:val="es-ES"/>
                    </w:rPr>
                    <w:t xml:space="preserve">CELs </w:t>
                  </w:r>
                </w:p>
                <w:p w14:paraId="280A1C4E" w14:textId="77777777" w:rsidR="00F17064" w:rsidRPr="0065554C" w:rsidRDefault="00F17064" w:rsidP="00F17064">
                  <w:pPr>
                    <w:tabs>
                      <w:tab w:val="clear" w:pos="851"/>
                    </w:tabs>
                    <w:spacing w:before="0" w:after="0"/>
                    <w:ind w:hanging="262"/>
                    <w:jc w:val="center"/>
                    <w:rPr>
                      <w:rFonts w:asciiTheme="minorHAnsi" w:hAnsiTheme="minorHAnsi"/>
                      <w:lang w:val="es-ES"/>
                    </w:rPr>
                  </w:pPr>
                  <w:r w:rsidRPr="0065554C">
                    <w:rPr>
                      <w:rFonts w:asciiTheme="minorHAnsi" w:hAnsiTheme="minorHAnsi"/>
                      <w:lang w:val="es-ES"/>
                    </w:rPr>
                    <w:t>(CEL/Año)</w:t>
                  </w:r>
                </w:p>
              </w:tc>
            </w:tr>
            <w:tr w:rsidR="0065554C" w:rsidRPr="0065554C" w14:paraId="482EE225" w14:textId="77777777" w:rsidTr="00AB1A24">
              <w:trPr>
                <w:trHeight w:val="290"/>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5E6C982E" w14:textId="77777777" w:rsidR="00F01499" w:rsidRPr="0065554C" w:rsidRDefault="00F01499" w:rsidP="00CE2603">
                  <w:pPr>
                    <w:tabs>
                      <w:tab w:val="clear" w:pos="851"/>
                    </w:tabs>
                    <w:spacing w:before="0" w:after="0"/>
                    <w:ind w:hanging="262"/>
                    <w:jc w:val="center"/>
                    <w:rPr>
                      <w:rFonts w:asciiTheme="minorHAnsi" w:hAnsiTheme="minorHAnsi"/>
                      <w:b/>
                      <w:lang w:val="es-ES"/>
                    </w:rPr>
                  </w:pPr>
                  <w:r w:rsidRPr="0065554C">
                    <w:rPr>
                      <w:rFonts w:asciiTheme="minorHAnsi" w:eastAsia="Calibri" w:hAnsiTheme="minorHAnsi" w:cs="Times New Roman"/>
                      <w:b/>
                      <w:szCs w:val="20"/>
                      <w:lang w:val="es-ES" w:bidi="ar-SA"/>
                    </w:rPr>
                    <w:t>59.324</w:t>
                  </w:r>
                </w:p>
              </w:tc>
              <w:tc>
                <w:tcPr>
                  <w:tcW w:w="1421" w:type="dxa"/>
                  <w:tcBorders>
                    <w:top w:val="nil"/>
                    <w:left w:val="nil"/>
                    <w:bottom w:val="single" w:sz="4" w:space="0" w:color="auto"/>
                    <w:right w:val="single" w:sz="4" w:space="0" w:color="auto"/>
                  </w:tcBorders>
                  <w:shd w:val="clear" w:color="auto" w:fill="auto"/>
                  <w:noWrap/>
                  <w:vAlign w:val="bottom"/>
                  <w:hideMark/>
                </w:tcPr>
                <w:p w14:paraId="0716F6DA" w14:textId="77777777" w:rsidR="00F01499" w:rsidRPr="0065554C" w:rsidRDefault="00F01499" w:rsidP="00CE2603">
                  <w:pPr>
                    <w:tabs>
                      <w:tab w:val="clear" w:pos="851"/>
                    </w:tabs>
                    <w:spacing w:before="0" w:after="0"/>
                    <w:ind w:hanging="262"/>
                    <w:jc w:val="center"/>
                    <w:rPr>
                      <w:rFonts w:asciiTheme="minorHAnsi" w:hAnsiTheme="minorHAnsi"/>
                      <w:lang w:val="es-ES"/>
                    </w:rPr>
                  </w:pPr>
                  <w:r w:rsidRPr="0065554C">
                    <w:rPr>
                      <w:rFonts w:asciiTheme="minorHAnsi" w:eastAsia="Calibri" w:hAnsiTheme="minorHAnsi" w:cs="Times New Roman"/>
                      <w:szCs w:val="20"/>
                      <w:lang w:val="es-ES" w:bidi="ar-SA"/>
                    </w:rPr>
                    <w:t>425,196.45</w:t>
                  </w:r>
                </w:p>
              </w:tc>
              <w:tc>
                <w:tcPr>
                  <w:tcW w:w="1421" w:type="dxa"/>
                  <w:tcBorders>
                    <w:top w:val="nil"/>
                    <w:left w:val="nil"/>
                    <w:bottom w:val="single" w:sz="4" w:space="0" w:color="auto"/>
                    <w:right w:val="single" w:sz="4" w:space="0" w:color="auto"/>
                  </w:tcBorders>
                  <w:shd w:val="clear" w:color="auto" w:fill="auto"/>
                  <w:noWrap/>
                  <w:vAlign w:val="bottom"/>
                  <w:hideMark/>
                </w:tcPr>
                <w:p w14:paraId="1708D061" w14:textId="77777777" w:rsidR="00F01499" w:rsidRPr="0065554C" w:rsidRDefault="00F01499" w:rsidP="00CE2603">
                  <w:pPr>
                    <w:tabs>
                      <w:tab w:val="clear" w:pos="851"/>
                    </w:tabs>
                    <w:spacing w:before="0" w:after="0"/>
                    <w:ind w:hanging="262"/>
                    <w:jc w:val="center"/>
                    <w:rPr>
                      <w:rFonts w:asciiTheme="minorHAnsi" w:hAnsiTheme="minorHAnsi"/>
                      <w:lang w:val="es-ES"/>
                    </w:rPr>
                  </w:pPr>
                  <w:r w:rsidRPr="0065554C">
                    <w:rPr>
                      <w:rFonts w:asciiTheme="minorHAnsi" w:eastAsia="Calibri" w:hAnsiTheme="minorHAnsi" w:cs="Times New Roman"/>
                      <w:szCs w:val="20"/>
                      <w:lang w:val="es-ES" w:bidi="ar-SA"/>
                    </w:rPr>
                    <w:t>0</w:t>
                  </w:r>
                </w:p>
              </w:tc>
            </w:tr>
          </w:tbl>
          <w:p w14:paraId="49A6752A" w14:textId="77777777" w:rsidR="00F01499" w:rsidRPr="0065554C" w:rsidRDefault="00F01499" w:rsidP="00CE2603">
            <w:pPr>
              <w:ind w:left="1068" w:right="333" w:hanging="262"/>
              <w:rPr>
                <w:rFonts w:asciiTheme="minorHAnsi" w:eastAsia="Calibri" w:hAnsiTheme="minorHAnsi"/>
                <w:lang w:val="es-MX"/>
              </w:rPr>
            </w:pPr>
          </w:p>
          <w:p w14:paraId="11E9B04A" w14:textId="77777777" w:rsidR="00F01499" w:rsidRPr="0065554C" w:rsidRDefault="00F01499" w:rsidP="00CE2603">
            <w:pPr>
              <w:ind w:left="720" w:right="333" w:hanging="262"/>
              <w:rPr>
                <w:rFonts w:asciiTheme="minorHAnsi" w:eastAsia="Calibri" w:hAnsiTheme="minorHAnsi"/>
                <w:lang w:val="es-MX"/>
              </w:rPr>
            </w:pPr>
          </w:p>
          <w:p w14:paraId="4D1CCD2A" w14:textId="77777777" w:rsidR="00F17064" w:rsidRPr="0065554C" w:rsidRDefault="00F17064" w:rsidP="008D7CF8">
            <w:pPr>
              <w:pStyle w:val="EjeNumer1er"/>
              <w:numPr>
                <w:ilvl w:val="0"/>
                <w:numId w:val="0"/>
              </w:numPr>
              <w:tabs>
                <w:tab w:val="clear" w:pos="851"/>
              </w:tabs>
              <w:spacing w:before="0" w:after="0"/>
              <w:ind w:left="458"/>
              <w:jc w:val="left"/>
            </w:pPr>
          </w:p>
          <w:p w14:paraId="64F7ACA2" w14:textId="77777777" w:rsidR="00F01499" w:rsidRPr="0065554C" w:rsidRDefault="00F01499" w:rsidP="00D42E95">
            <w:pPr>
              <w:pStyle w:val="EjeNumer1er"/>
              <w:numPr>
                <w:ilvl w:val="0"/>
                <w:numId w:val="27"/>
              </w:numPr>
              <w:tabs>
                <w:tab w:val="clear" w:pos="851"/>
              </w:tabs>
              <w:spacing w:before="0" w:after="0"/>
              <w:ind w:hanging="262"/>
              <w:jc w:val="left"/>
            </w:pPr>
            <w:r w:rsidRPr="0065554C">
              <w:t>Suponga que la Oferta de Compra Aceptada del Suministrador de Servicios Básicos</w:t>
            </w:r>
            <w:r w:rsidR="00C17239" w:rsidRPr="0065554C">
              <w:t xml:space="preserve"> se compone de la siguiente manera:</w:t>
            </w:r>
          </w:p>
          <w:tbl>
            <w:tblPr>
              <w:tblpPr w:leftFromText="141" w:rightFromText="141" w:vertAnchor="text" w:horzAnchor="margin" w:tblpXSpec="center" w:tblpY="83"/>
              <w:tblOverlap w:val="never"/>
              <w:tblW w:w="4042" w:type="dxa"/>
              <w:tblCellMar>
                <w:left w:w="70" w:type="dxa"/>
                <w:right w:w="70" w:type="dxa"/>
              </w:tblCellMar>
              <w:tblLook w:val="04A0" w:firstRow="1" w:lastRow="0" w:firstColumn="1" w:lastColumn="0" w:noHBand="0" w:noVBand="1"/>
            </w:tblPr>
            <w:tblGrid>
              <w:gridCol w:w="1200"/>
              <w:gridCol w:w="1421"/>
              <w:gridCol w:w="1421"/>
            </w:tblGrid>
            <w:tr w:rsidR="0065554C" w:rsidRPr="0065554C" w14:paraId="020387F3" w14:textId="77777777" w:rsidTr="00AB1A24">
              <w:trPr>
                <w:trHeight w:val="290"/>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A69DAB" w14:textId="77777777" w:rsidR="00E42757" w:rsidRPr="0065554C" w:rsidRDefault="00E42757" w:rsidP="00E42757">
                  <w:pPr>
                    <w:tabs>
                      <w:tab w:val="clear" w:pos="851"/>
                    </w:tabs>
                    <w:spacing w:before="0" w:after="0"/>
                    <w:ind w:hanging="262"/>
                    <w:jc w:val="center"/>
                    <w:rPr>
                      <w:rFonts w:asciiTheme="minorHAnsi" w:hAnsiTheme="minorHAnsi"/>
                      <w:lang w:val="es-ES"/>
                    </w:rPr>
                  </w:pPr>
                  <w:r w:rsidRPr="0065554C">
                    <w:rPr>
                      <w:rFonts w:asciiTheme="minorHAnsi" w:hAnsiTheme="minorHAnsi"/>
                      <w:lang w:val="es-ES"/>
                    </w:rPr>
                    <w:t xml:space="preserve">Potencia </w:t>
                  </w:r>
                </w:p>
                <w:p w14:paraId="6EFB624A" w14:textId="77777777" w:rsidR="00E42757" w:rsidRPr="0065554C" w:rsidRDefault="00E42757" w:rsidP="00C17239">
                  <w:pPr>
                    <w:tabs>
                      <w:tab w:val="clear" w:pos="851"/>
                    </w:tabs>
                    <w:spacing w:before="0" w:after="0"/>
                    <w:ind w:hanging="262"/>
                    <w:jc w:val="center"/>
                    <w:rPr>
                      <w:rFonts w:asciiTheme="minorHAnsi" w:hAnsiTheme="minorHAnsi"/>
                      <w:lang w:val="es-ES"/>
                    </w:rPr>
                  </w:pPr>
                  <w:r w:rsidRPr="0065554C">
                    <w:rPr>
                      <w:rFonts w:asciiTheme="minorHAnsi" w:hAnsiTheme="minorHAnsi"/>
                      <w:lang w:val="es-ES"/>
                    </w:rPr>
                    <w:t>(MW)</w:t>
                  </w:r>
                </w:p>
              </w:tc>
              <w:tc>
                <w:tcPr>
                  <w:tcW w:w="1421" w:type="dxa"/>
                  <w:tcBorders>
                    <w:top w:val="single" w:sz="4" w:space="0" w:color="auto"/>
                    <w:left w:val="nil"/>
                    <w:bottom w:val="single" w:sz="4" w:space="0" w:color="auto"/>
                    <w:right w:val="single" w:sz="4" w:space="0" w:color="auto"/>
                  </w:tcBorders>
                  <w:shd w:val="clear" w:color="auto" w:fill="auto"/>
                  <w:noWrap/>
                  <w:vAlign w:val="bottom"/>
                  <w:hideMark/>
                </w:tcPr>
                <w:p w14:paraId="3CF6A16D" w14:textId="77777777" w:rsidR="00C17239" w:rsidRPr="0065554C" w:rsidRDefault="00E42757" w:rsidP="00E42757">
                  <w:pPr>
                    <w:tabs>
                      <w:tab w:val="clear" w:pos="851"/>
                    </w:tabs>
                    <w:spacing w:before="0" w:after="0"/>
                    <w:ind w:hanging="262"/>
                    <w:jc w:val="center"/>
                    <w:rPr>
                      <w:rFonts w:asciiTheme="minorHAnsi" w:hAnsiTheme="minorHAnsi"/>
                      <w:lang w:val="es-ES"/>
                    </w:rPr>
                  </w:pPr>
                  <w:r w:rsidRPr="0065554C">
                    <w:rPr>
                      <w:rFonts w:asciiTheme="minorHAnsi" w:hAnsiTheme="minorHAnsi"/>
                      <w:lang w:val="es-ES"/>
                    </w:rPr>
                    <w:t xml:space="preserve"> EEA </w:t>
                  </w:r>
                </w:p>
                <w:p w14:paraId="5C9BA5D7" w14:textId="77777777" w:rsidR="00E42757" w:rsidRPr="0065554C" w:rsidRDefault="00E42757" w:rsidP="00E42757">
                  <w:pPr>
                    <w:tabs>
                      <w:tab w:val="clear" w:pos="851"/>
                    </w:tabs>
                    <w:spacing w:before="0" w:after="0"/>
                    <w:ind w:hanging="262"/>
                    <w:jc w:val="center"/>
                    <w:rPr>
                      <w:rFonts w:asciiTheme="minorHAnsi" w:hAnsiTheme="minorHAnsi"/>
                      <w:lang w:val="es-ES"/>
                    </w:rPr>
                  </w:pPr>
                  <w:r w:rsidRPr="0065554C">
                    <w:rPr>
                      <w:rFonts w:asciiTheme="minorHAnsi" w:hAnsiTheme="minorHAnsi"/>
                      <w:lang w:val="es-ES"/>
                    </w:rPr>
                    <w:t>(MWh/año)</w:t>
                  </w:r>
                </w:p>
              </w:tc>
              <w:tc>
                <w:tcPr>
                  <w:tcW w:w="1421" w:type="dxa"/>
                  <w:tcBorders>
                    <w:top w:val="single" w:sz="4" w:space="0" w:color="auto"/>
                    <w:left w:val="nil"/>
                    <w:bottom w:val="single" w:sz="4" w:space="0" w:color="auto"/>
                    <w:right w:val="single" w:sz="4" w:space="0" w:color="auto"/>
                  </w:tcBorders>
                  <w:shd w:val="clear" w:color="auto" w:fill="auto"/>
                  <w:noWrap/>
                  <w:vAlign w:val="bottom"/>
                  <w:hideMark/>
                </w:tcPr>
                <w:p w14:paraId="5A3621BD" w14:textId="77777777" w:rsidR="00E42757" w:rsidRPr="0065554C" w:rsidRDefault="00E42757" w:rsidP="00E42757">
                  <w:pPr>
                    <w:tabs>
                      <w:tab w:val="clear" w:pos="851"/>
                    </w:tabs>
                    <w:spacing w:before="0" w:after="0"/>
                    <w:ind w:hanging="262"/>
                    <w:jc w:val="center"/>
                    <w:rPr>
                      <w:rFonts w:asciiTheme="minorHAnsi" w:hAnsiTheme="minorHAnsi"/>
                      <w:lang w:val="es-ES"/>
                    </w:rPr>
                  </w:pPr>
                  <w:r w:rsidRPr="0065554C">
                    <w:rPr>
                      <w:rFonts w:asciiTheme="minorHAnsi" w:hAnsiTheme="minorHAnsi"/>
                      <w:lang w:val="es-ES"/>
                    </w:rPr>
                    <w:t xml:space="preserve">CELs </w:t>
                  </w:r>
                </w:p>
                <w:p w14:paraId="69B93A6E" w14:textId="77777777" w:rsidR="00E42757" w:rsidRPr="0065554C" w:rsidRDefault="00E42757" w:rsidP="00E42757">
                  <w:pPr>
                    <w:tabs>
                      <w:tab w:val="clear" w:pos="851"/>
                    </w:tabs>
                    <w:spacing w:before="0" w:after="0"/>
                    <w:ind w:hanging="262"/>
                    <w:jc w:val="center"/>
                    <w:rPr>
                      <w:rFonts w:asciiTheme="minorHAnsi" w:hAnsiTheme="minorHAnsi"/>
                      <w:lang w:val="es-ES"/>
                    </w:rPr>
                  </w:pPr>
                  <w:r w:rsidRPr="0065554C">
                    <w:rPr>
                      <w:rFonts w:asciiTheme="minorHAnsi" w:hAnsiTheme="minorHAnsi"/>
                      <w:lang w:val="es-ES"/>
                    </w:rPr>
                    <w:t>(CEL/Año)</w:t>
                  </w:r>
                </w:p>
              </w:tc>
            </w:tr>
            <w:tr w:rsidR="0065554C" w:rsidRPr="0065554C" w14:paraId="5AFAE9A8" w14:textId="77777777" w:rsidTr="00AB1A24">
              <w:trPr>
                <w:trHeight w:val="290"/>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5C831DAA" w14:textId="77777777" w:rsidR="00F01499" w:rsidRPr="0065554C" w:rsidRDefault="00F01499" w:rsidP="00CE2603">
                  <w:pPr>
                    <w:tabs>
                      <w:tab w:val="clear" w:pos="851"/>
                    </w:tabs>
                    <w:spacing w:before="0" w:after="0"/>
                    <w:ind w:hanging="262"/>
                    <w:jc w:val="center"/>
                    <w:rPr>
                      <w:rFonts w:asciiTheme="minorHAnsi" w:hAnsiTheme="minorHAnsi"/>
                      <w:lang w:val="es-ES"/>
                    </w:rPr>
                  </w:pPr>
                  <w:r w:rsidRPr="0065554C">
                    <w:rPr>
                      <w:rFonts w:asciiTheme="minorHAnsi" w:hAnsiTheme="minorHAnsi"/>
                      <w:lang w:val="es-ES"/>
                    </w:rPr>
                    <w:t>0</w:t>
                  </w:r>
                </w:p>
              </w:tc>
              <w:tc>
                <w:tcPr>
                  <w:tcW w:w="1421" w:type="dxa"/>
                  <w:tcBorders>
                    <w:top w:val="nil"/>
                    <w:left w:val="nil"/>
                    <w:bottom w:val="single" w:sz="4" w:space="0" w:color="auto"/>
                    <w:right w:val="single" w:sz="4" w:space="0" w:color="auto"/>
                  </w:tcBorders>
                  <w:shd w:val="clear" w:color="auto" w:fill="auto"/>
                  <w:noWrap/>
                  <w:vAlign w:val="bottom"/>
                  <w:hideMark/>
                </w:tcPr>
                <w:p w14:paraId="2D15D8EE" w14:textId="77777777" w:rsidR="00F01499" w:rsidRPr="0065554C" w:rsidRDefault="00F01499" w:rsidP="00CE2603">
                  <w:pPr>
                    <w:tabs>
                      <w:tab w:val="clear" w:pos="851"/>
                    </w:tabs>
                    <w:spacing w:before="0" w:after="0"/>
                    <w:ind w:hanging="262"/>
                    <w:jc w:val="center"/>
                    <w:rPr>
                      <w:rFonts w:asciiTheme="minorHAnsi" w:hAnsiTheme="minorHAnsi"/>
                      <w:lang w:val="es-ES"/>
                    </w:rPr>
                  </w:pPr>
                  <w:r w:rsidRPr="0065554C">
                    <w:rPr>
                      <w:rFonts w:asciiTheme="minorHAnsi" w:hAnsiTheme="minorHAnsi"/>
                      <w:lang w:val="es-ES"/>
                    </w:rPr>
                    <w:t>10,629,911.25</w:t>
                  </w:r>
                </w:p>
              </w:tc>
              <w:tc>
                <w:tcPr>
                  <w:tcW w:w="1421" w:type="dxa"/>
                  <w:tcBorders>
                    <w:top w:val="nil"/>
                    <w:left w:val="nil"/>
                    <w:bottom w:val="single" w:sz="4" w:space="0" w:color="auto"/>
                    <w:right w:val="single" w:sz="4" w:space="0" w:color="auto"/>
                  </w:tcBorders>
                  <w:shd w:val="clear" w:color="auto" w:fill="auto"/>
                  <w:noWrap/>
                  <w:vAlign w:val="bottom"/>
                  <w:hideMark/>
                </w:tcPr>
                <w:p w14:paraId="3A2FE898" w14:textId="77777777" w:rsidR="00F01499" w:rsidRPr="0065554C" w:rsidRDefault="00F01499" w:rsidP="00CE2603">
                  <w:pPr>
                    <w:tabs>
                      <w:tab w:val="clear" w:pos="851"/>
                    </w:tabs>
                    <w:spacing w:before="0" w:after="0"/>
                    <w:ind w:hanging="262"/>
                    <w:jc w:val="center"/>
                    <w:rPr>
                      <w:rFonts w:asciiTheme="minorHAnsi" w:hAnsiTheme="minorHAnsi"/>
                      <w:lang w:val="es-ES"/>
                    </w:rPr>
                  </w:pPr>
                  <w:r w:rsidRPr="0065554C">
                    <w:rPr>
                      <w:rFonts w:asciiTheme="minorHAnsi" w:hAnsiTheme="minorHAnsi"/>
                      <w:lang w:val="es-ES"/>
                    </w:rPr>
                    <w:t>0</w:t>
                  </w:r>
                </w:p>
              </w:tc>
            </w:tr>
          </w:tbl>
          <w:p w14:paraId="66E2B516" w14:textId="77777777" w:rsidR="00F01499" w:rsidRPr="0065554C" w:rsidRDefault="00F01499" w:rsidP="00CE2603">
            <w:pPr>
              <w:ind w:left="360" w:right="333" w:hanging="262"/>
              <w:rPr>
                <w:rFonts w:asciiTheme="minorHAnsi" w:eastAsia="Calibri" w:hAnsiTheme="minorHAnsi"/>
                <w:lang w:val="es-MX"/>
              </w:rPr>
            </w:pPr>
          </w:p>
          <w:p w14:paraId="2249EBC7" w14:textId="77777777" w:rsidR="00F01499" w:rsidRPr="0065554C" w:rsidRDefault="00F01499" w:rsidP="00CE2603">
            <w:pPr>
              <w:ind w:left="720" w:right="333" w:hanging="262"/>
              <w:jc w:val="center"/>
              <w:rPr>
                <w:rFonts w:asciiTheme="minorHAnsi" w:eastAsia="Calibri" w:hAnsiTheme="minorHAnsi"/>
                <w:lang w:val="es-MX"/>
              </w:rPr>
            </w:pPr>
          </w:p>
          <w:p w14:paraId="08E70285" w14:textId="77777777" w:rsidR="00C17239" w:rsidRPr="0065554C" w:rsidRDefault="00C17239" w:rsidP="00C17239">
            <w:pPr>
              <w:tabs>
                <w:tab w:val="clear" w:pos="851"/>
              </w:tabs>
              <w:spacing w:before="0" w:after="0"/>
              <w:ind w:hanging="262"/>
              <w:jc w:val="center"/>
              <w:rPr>
                <w:rFonts w:asciiTheme="minorHAnsi" w:eastAsia="Calibri" w:hAnsiTheme="minorHAnsi"/>
                <w:lang w:val="es-MX"/>
              </w:rPr>
            </w:pPr>
          </w:p>
          <w:p w14:paraId="215857E6" w14:textId="77777777" w:rsidR="00F01499" w:rsidRPr="0065554C" w:rsidRDefault="00F17064" w:rsidP="00E37790">
            <w:pPr>
              <w:ind w:left="1068" w:right="333" w:hanging="43"/>
              <w:rPr>
                <w:rFonts w:asciiTheme="minorHAnsi" w:eastAsia="Calibri" w:hAnsiTheme="minorHAnsi"/>
                <w:lang w:val="es-MX"/>
              </w:rPr>
            </w:pPr>
            <w:r w:rsidRPr="0065554C">
              <w:rPr>
                <w:rFonts w:asciiTheme="minorHAnsi" w:eastAsia="Calibri" w:hAnsiTheme="minorHAnsi"/>
                <w:lang w:val="es-MX"/>
              </w:rPr>
              <w:t xml:space="preserve"> </w:t>
            </w:r>
            <w:r w:rsidR="00F01499" w:rsidRPr="0065554C">
              <w:rPr>
                <w:rFonts w:asciiTheme="minorHAnsi" w:eastAsia="Calibri" w:hAnsiTheme="minorHAnsi"/>
                <w:lang w:val="es-MX"/>
              </w:rPr>
              <w:t xml:space="preserve">Al no existir </w:t>
            </w:r>
            <w:r w:rsidR="00E37790" w:rsidRPr="0065554C">
              <w:rPr>
                <w:rFonts w:asciiTheme="minorHAnsi" w:eastAsia="Calibri" w:hAnsiTheme="minorHAnsi"/>
                <w:lang w:val="es-MX"/>
              </w:rPr>
              <w:t>en la O</w:t>
            </w:r>
            <w:r w:rsidR="00F01499" w:rsidRPr="0065554C">
              <w:rPr>
                <w:rFonts w:asciiTheme="minorHAnsi" w:eastAsia="Calibri" w:hAnsiTheme="minorHAnsi"/>
                <w:lang w:val="es-MX"/>
              </w:rPr>
              <w:t xml:space="preserve">ferta de </w:t>
            </w:r>
            <w:r w:rsidR="00E37790" w:rsidRPr="0065554C">
              <w:rPr>
                <w:rFonts w:asciiTheme="minorHAnsi" w:eastAsia="Calibri" w:hAnsiTheme="minorHAnsi"/>
                <w:lang w:val="es-MX"/>
              </w:rPr>
              <w:t>C</w:t>
            </w:r>
            <w:r w:rsidR="00F01499" w:rsidRPr="0065554C">
              <w:rPr>
                <w:rFonts w:asciiTheme="minorHAnsi" w:eastAsia="Calibri" w:hAnsiTheme="minorHAnsi"/>
                <w:lang w:val="es-MX"/>
              </w:rPr>
              <w:t xml:space="preserve">ompra </w:t>
            </w:r>
            <w:r w:rsidR="00E37790" w:rsidRPr="0065554C">
              <w:rPr>
                <w:rFonts w:asciiTheme="minorHAnsi" w:eastAsia="Calibri" w:hAnsiTheme="minorHAnsi"/>
                <w:lang w:val="es-MX"/>
              </w:rPr>
              <w:t>A</w:t>
            </w:r>
            <w:r w:rsidR="00F01499" w:rsidRPr="0065554C">
              <w:rPr>
                <w:rFonts w:asciiTheme="minorHAnsi" w:eastAsia="Calibri" w:hAnsiTheme="minorHAnsi"/>
                <w:lang w:val="es-MX"/>
              </w:rPr>
              <w:t xml:space="preserve">ceptada </w:t>
            </w:r>
            <w:r w:rsidR="00E37790" w:rsidRPr="0065554C">
              <w:rPr>
                <w:rFonts w:asciiTheme="minorHAnsi" w:eastAsia="Calibri" w:hAnsiTheme="minorHAnsi"/>
                <w:lang w:val="es-MX"/>
              </w:rPr>
              <w:t>del SSB CELs</w:t>
            </w:r>
            <w:r w:rsidR="00F01499" w:rsidRPr="0065554C">
              <w:rPr>
                <w:rFonts w:asciiTheme="minorHAnsi" w:eastAsia="Calibri" w:hAnsiTheme="minorHAnsi"/>
                <w:lang w:val="es-MX"/>
              </w:rPr>
              <w:t xml:space="preserve"> ni </w:t>
            </w:r>
            <w:r w:rsidR="00C17239" w:rsidRPr="0065554C">
              <w:rPr>
                <w:rFonts w:asciiTheme="minorHAnsi" w:eastAsia="Calibri" w:hAnsiTheme="minorHAnsi"/>
                <w:lang w:val="es-MX"/>
              </w:rPr>
              <w:t>P</w:t>
            </w:r>
            <w:r w:rsidR="00F01499" w:rsidRPr="0065554C">
              <w:rPr>
                <w:rFonts w:asciiTheme="minorHAnsi" w:eastAsia="Calibri" w:hAnsiTheme="minorHAnsi"/>
                <w:lang w:val="es-MX"/>
              </w:rPr>
              <w:t>otencia, la ERC</w:t>
            </w:r>
            <w:r w:rsidR="00C17239" w:rsidRPr="0065554C">
              <w:rPr>
                <w:rFonts w:asciiTheme="minorHAnsi" w:eastAsia="Calibri" w:hAnsiTheme="minorHAnsi"/>
                <w:lang w:val="es-MX"/>
              </w:rPr>
              <w:t xml:space="preserve"> distinta al SSB</w:t>
            </w:r>
            <w:r w:rsidR="00F01499" w:rsidRPr="0065554C">
              <w:rPr>
                <w:rFonts w:asciiTheme="minorHAnsi" w:eastAsia="Calibri" w:hAnsiTheme="minorHAnsi"/>
                <w:lang w:val="es-MX"/>
              </w:rPr>
              <w:t xml:space="preserve"> presenta una </w:t>
            </w:r>
            <w:r w:rsidRPr="0065554C">
              <w:rPr>
                <w:rFonts w:asciiTheme="minorHAnsi" w:eastAsia="Calibri" w:hAnsiTheme="minorHAnsi"/>
                <w:lang w:val="es-MX"/>
              </w:rPr>
              <w:t xml:space="preserve">Oferta </w:t>
            </w:r>
            <w:r w:rsidR="00F01499" w:rsidRPr="0065554C">
              <w:rPr>
                <w:rFonts w:asciiTheme="minorHAnsi" w:eastAsia="Calibri" w:hAnsiTheme="minorHAnsi"/>
                <w:lang w:val="es-MX"/>
              </w:rPr>
              <w:t xml:space="preserve">de </w:t>
            </w:r>
            <w:r w:rsidRPr="0065554C">
              <w:rPr>
                <w:rFonts w:asciiTheme="minorHAnsi" w:eastAsia="Calibri" w:hAnsiTheme="minorHAnsi"/>
                <w:lang w:val="es-MX"/>
              </w:rPr>
              <w:t xml:space="preserve">Compra </w:t>
            </w:r>
            <w:r w:rsidR="00F01499" w:rsidRPr="0065554C">
              <w:rPr>
                <w:rFonts w:asciiTheme="minorHAnsi" w:eastAsia="Calibri" w:hAnsiTheme="minorHAnsi"/>
                <w:lang w:val="es-MX"/>
              </w:rPr>
              <w:t xml:space="preserve">de </w:t>
            </w:r>
            <w:r w:rsidRPr="0065554C">
              <w:rPr>
                <w:rFonts w:asciiTheme="minorHAnsi" w:eastAsia="Calibri" w:hAnsiTheme="minorHAnsi"/>
                <w:lang w:val="es-MX"/>
              </w:rPr>
              <w:t xml:space="preserve">Energía Eléctrica Acumulada </w:t>
            </w:r>
            <w:r w:rsidR="00F01499" w:rsidRPr="0065554C">
              <w:rPr>
                <w:rFonts w:asciiTheme="minorHAnsi" w:eastAsia="Calibri" w:hAnsiTheme="minorHAnsi"/>
                <w:lang w:val="es-MX"/>
              </w:rPr>
              <w:t>de 425,196.45 MWh. El CENACE calcula que esta cantidad corresponde al 4% de la cantidad total de oferta de compra aceptada para dicho producto</w:t>
            </w:r>
            <w:r w:rsidR="00E42757" w:rsidRPr="0065554C">
              <w:rPr>
                <w:rFonts w:asciiTheme="minorHAnsi" w:eastAsia="Calibri" w:hAnsiTheme="minorHAnsi"/>
                <w:lang w:val="es-MX"/>
              </w:rPr>
              <w:t xml:space="preserve">, con </w:t>
            </w:r>
            <w:r w:rsidR="00F01499" w:rsidRPr="0065554C">
              <w:rPr>
                <w:rFonts w:asciiTheme="minorHAnsi" w:eastAsia="Calibri" w:hAnsiTheme="minorHAnsi"/>
                <w:lang w:val="es-MX"/>
              </w:rPr>
              <w:t xml:space="preserve">lo cual cumple con las restricciones mínimas del numeral 4.4.2 de las Bases de Licitación.   </w:t>
            </w:r>
            <w:r w:rsidR="00E42757" w:rsidRPr="0065554C">
              <w:rPr>
                <w:rFonts w:asciiTheme="minorHAnsi" w:eastAsia="Calibri" w:hAnsiTheme="minorHAnsi"/>
                <w:lang w:val="es-MX"/>
              </w:rPr>
              <w:t>De esta manera, la Oferta de Compra de la ERC</w:t>
            </w:r>
            <w:r w:rsidR="00E37790" w:rsidRPr="0065554C">
              <w:rPr>
                <w:rFonts w:asciiTheme="minorHAnsi" w:eastAsia="Calibri" w:hAnsiTheme="minorHAnsi"/>
                <w:lang w:val="es-MX"/>
              </w:rPr>
              <w:t xml:space="preserve"> distinta al SSB</w:t>
            </w:r>
            <w:r w:rsidR="00E42757" w:rsidRPr="0065554C">
              <w:rPr>
                <w:rFonts w:asciiTheme="minorHAnsi" w:eastAsia="Calibri" w:hAnsiTheme="minorHAnsi"/>
                <w:lang w:val="es-MX"/>
              </w:rPr>
              <w:t xml:space="preserve"> </w:t>
            </w:r>
            <w:r w:rsidR="00F01499" w:rsidRPr="0065554C">
              <w:rPr>
                <w:rFonts w:asciiTheme="minorHAnsi" w:eastAsia="Calibri" w:hAnsiTheme="minorHAnsi"/>
                <w:lang w:val="es-MX"/>
              </w:rPr>
              <w:t>estaría compuesta por las siguientes cantidades</w:t>
            </w:r>
            <w:r w:rsidR="00A17E4B" w:rsidRPr="0065554C">
              <w:rPr>
                <w:rFonts w:asciiTheme="minorHAnsi" w:eastAsia="Calibri" w:hAnsiTheme="minorHAnsi"/>
                <w:lang w:val="es-MX"/>
              </w:rPr>
              <w:t xml:space="preserve">: </w:t>
            </w:r>
          </w:p>
          <w:tbl>
            <w:tblPr>
              <w:tblpPr w:leftFromText="141" w:rightFromText="141" w:vertAnchor="text" w:horzAnchor="margin" w:tblpXSpec="center" w:tblpY="83"/>
              <w:tblOverlap w:val="never"/>
              <w:tblW w:w="4042" w:type="dxa"/>
              <w:tblCellMar>
                <w:left w:w="70" w:type="dxa"/>
                <w:right w:w="70" w:type="dxa"/>
              </w:tblCellMar>
              <w:tblLook w:val="04A0" w:firstRow="1" w:lastRow="0" w:firstColumn="1" w:lastColumn="0" w:noHBand="0" w:noVBand="1"/>
            </w:tblPr>
            <w:tblGrid>
              <w:gridCol w:w="1200"/>
              <w:gridCol w:w="1421"/>
              <w:gridCol w:w="1421"/>
            </w:tblGrid>
            <w:tr w:rsidR="0065554C" w:rsidRPr="0065554C" w14:paraId="2C48E730" w14:textId="77777777" w:rsidTr="00AB1A24">
              <w:trPr>
                <w:trHeight w:val="290"/>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30D324" w14:textId="77777777" w:rsidR="00E42757" w:rsidRPr="0065554C" w:rsidRDefault="00E42757" w:rsidP="00911BEF">
                  <w:pPr>
                    <w:tabs>
                      <w:tab w:val="clear" w:pos="851"/>
                    </w:tabs>
                    <w:spacing w:before="0" w:after="0"/>
                    <w:ind w:hanging="262"/>
                    <w:jc w:val="center"/>
                    <w:rPr>
                      <w:rFonts w:asciiTheme="minorHAnsi" w:hAnsiTheme="minorHAnsi"/>
                      <w:lang w:val="es-ES"/>
                    </w:rPr>
                  </w:pPr>
                  <w:r w:rsidRPr="0065554C">
                    <w:rPr>
                      <w:rFonts w:asciiTheme="minorHAnsi" w:hAnsiTheme="minorHAnsi"/>
                      <w:lang w:val="es-ES"/>
                    </w:rPr>
                    <w:t>Potencia</w:t>
                  </w:r>
                </w:p>
                <w:p w14:paraId="4D20FBF2" w14:textId="77777777" w:rsidR="00E42757" w:rsidRPr="0065554C" w:rsidRDefault="00E42757" w:rsidP="00911BEF">
                  <w:pPr>
                    <w:tabs>
                      <w:tab w:val="clear" w:pos="851"/>
                    </w:tabs>
                    <w:spacing w:before="0" w:after="0"/>
                    <w:jc w:val="center"/>
                    <w:rPr>
                      <w:rFonts w:asciiTheme="minorHAnsi" w:hAnsiTheme="minorHAnsi"/>
                      <w:lang w:val="es-ES"/>
                    </w:rPr>
                  </w:pPr>
                  <w:r w:rsidRPr="0065554C">
                    <w:rPr>
                      <w:rFonts w:asciiTheme="minorHAnsi" w:hAnsiTheme="minorHAnsi"/>
                      <w:lang w:val="es-ES"/>
                    </w:rPr>
                    <w:t>(MW)</w:t>
                  </w:r>
                </w:p>
              </w:tc>
              <w:tc>
                <w:tcPr>
                  <w:tcW w:w="1421" w:type="dxa"/>
                  <w:tcBorders>
                    <w:top w:val="single" w:sz="4" w:space="0" w:color="auto"/>
                    <w:left w:val="nil"/>
                    <w:bottom w:val="single" w:sz="4" w:space="0" w:color="auto"/>
                    <w:right w:val="single" w:sz="4" w:space="0" w:color="auto"/>
                  </w:tcBorders>
                  <w:shd w:val="clear" w:color="auto" w:fill="auto"/>
                  <w:noWrap/>
                  <w:vAlign w:val="bottom"/>
                  <w:hideMark/>
                </w:tcPr>
                <w:p w14:paraId="056E5406" w14:textId="77777777" w:rsidR="00E42757" w:rsidRPr="0065554C" w:rsidRDefault="00E42757" w:rsidP="00911BEF">
                  <w:pPr>
                    <w:tabs>
                      <w:tab w:val="clear" w:pos="851"/>
                    </w:tabs>
                    <w:spacing w:before="0" w:after="0"/>
                    <w:jc w:val="center"/>
                    <w:rPr>
                      <w:rFonts w:asciiTheme="minorHAnsi" w:hAnsiTheme="minorHAnsi"/>
                      <w:lang w:val="es-ES"/>
                    </w:rPr>
                  </w:pPr>
                  <w:r w:rsidRPr="0065554C">
                    <w:rPr>
                      <w:rFonts w:asciiTheme="minorHAnsi" w:hAnsiTheme="minorHAnsi"/>
                      <w:lang w:val="es-ES"/>
                    </w:rPr>
                    <w:t>EEA (MWh/año)</w:t>
                  </w:r>
                </w:p>
              </w:tc>
              <w:tc>
                <w:tcPr>
                  <w:tcW w:w="1421" w:type="dxa"/>
                  <w:tcBorders>
                    <w:top w:val="single" w:sz="4" w:space="0" w:color="auto"/>
                    <w:left w:val="nil"/>
                    <w:bottom w:val="single" w:sz="4" w:space="0" w:color="auto"/>
                    <w:right w:val="single" w:sz="4" w:space="0" w:color="auto"/>
                  </w:tcBorders>
                  <w:shd w:val="clear" w:color="auto" w:fill="auto"/>
                  <w:noWrap/>
                  <w:vAlign w:val="bottom"/>
                  <w:hideMark/>
                </w:tcPr>
                <w:p w14:paraId="749A2D3D" w14:textId="77777777" w:rsidR="00E42757" w:rsidRPr="0065554C" w:rsidRDefault="00E42757" w:rsidP="00911BEF">
                  <w:pPr>
                    <w:tabs>
                      <w:tab w:val="clear" w:pos="851"/>
                    </w:tabs>
                    <w:spacing w:before="0" w:after="0"/>
                    <w:ind w:hanging="262"/>
                    <w:jc w:val="center"/>
                    <w:rPr>
                      <w:rFonts w:asciiTheme="minorHAnsi" w:hAnsiTheme="minorHAnsi"/>
                      <w:lang w:val="es-ES"/>
                    </w:rPr>
                  </w:pPr>
                  <w:r w:rsidRPr="0065554C">
                    <w:rPr>
                      <w:rFonts w:asciiTheme="minorHAnsi" w:hAnsiTheme="minorHAnsi"/>
                      <w:lang w:val="es-ES"/>
                    </w:rPr>
                    <w:t>CELs</w:t>
                  </w:r>
                </w:p>
                <w:p w14:paraId="59C66CCD" w14:textId="77777777" w:rsidR="00E42757" w:rsidRPr="0065554C" w:rsidRDefault="00E42757" w:rsidP="00911BEF">
                  <w:pPr>
                    <w:tabs>
                      <w:tab w:val="clear" w:pos="851"/>
                    </w:tabs>
                    <w:spacing w:before="0" w:after="0"/>
                    <w:jc w:val="center"/>
                    <w:rPr>
                      <w:rFonts w:asciiTheme="minorHAnsi" w:hAnsiTheme="minorHAnsi"/>
                      <w:lang w:val="es-ES"/>
                    </w:rPr>
                  </w:pPr>
                  <w:r w:rsidRPr="0065554C">
                    <w:rPr>
                      <w:rFonts w:asciiTheme="minorHAnsi" w:hAnsiTheme="minorHAnsi"/>
                      <w:lang w:val="es-ES"/>
                    </w:rPr>
                    <w:t>(CEL/Año)</w:t>
                  </w:r>
                </w:p>
              </w:tc>
            </w:tr>
            <w:tr w:rsidR="0065554C" w:rsidRPr="0065554C" w14:paraId="1D5E3C85" w14:textId="77777777" w:rsidTr="00AB1A24">
              <w:trPr>
                <w:trHeight w:val="290"/>
              </w:trPr>
              <w:tc>
                <w:tcPr>
                  <w:tcW w:w="1200" w:type="dxa"/>
                  <w:tcBorders>
                    <w:top w:val="nil"/>
                    <w:left w:val="single" w:sz="4" w:space="0" w:color="auto"/>
                    <w:bottom w:val="single" w:sz="4" w:space="0" w:color="auto"/>
                    <w:right w:val="single" w:sz="4" w:space="0" w:color="auto"/>
                  </w:tcBorders>
                  <w:shd w:val="clear" w:color="auto" w:fill="auto"/>
                  <w:noWrap/>
                  <w:vAlign w:val="bottom"/>
                  <w:hideMark/>
                </w:tcPr>
                <w:p w14:paraId="03D9F9CD" w14:textId="77777777" w:rsidR="00F01499" w:rsidRPr="0065554C" w:rsidRDefault="00F01499" w:rsidP="00F01499">
                  <w:pPr>
                    <w:tabs>
                      <w:tab w:val="clear" w:pos="851"/>
                    </w:tabs>
                    <w:spacing w:before="0" w:after="0"/>
                    <w:jc w:val="center"/>
                    <w:rPr>
                      <w:rFonts w:asciiTheme="minorHAnsi" w:hAnsiTheme="minorHAnsi"/>
                      <w:lang w:val="es-ES"/>
                    </w:rPr>
                  </w:pPr>
                  <w:r w:rsidRPr="0065554C">
                    <w:rPr>
                      <w:rFonts w:asciiTheme="minorHAnsi" w:hAnsiTheme="minorHAnsi"/>
                      <w:lang w:val="es-ES"/>
                    </w:rPr>
                    <w:t>0</w:t>
                  </w:r>
                </w:p>
              </w:tc>
              <w:tc>
                <w:tcPr>
                  <w:tcW w:w="1421" w:type="dxa"/>
                  <w:tcBorders>
                    <w:top w:val="nil"/>
                    <w:left w:val="nil"/>
                    <w:bottom w:val="single" w:sz="4" w:space="0" w:color="auto"/>
                    <w:right w:val="single" w:sz="4" w:space="0" w:color="auto"/>
                  </w:tcBorders>
                  <w:shd w:val="clear" w:color="auto" w:fill="auto"/>
                  <w:noWrap/>
                  <w:vAlign w:val="bottom"/>
                  <w:hideMark/>
                </w:tcPr>
                <w:p w14:paraId="5C50ED63" w14:textId="77777777" w:rsidR="00F01499" w:rsidRPr="0065554C" w:rsidRDefault="00F01499" w:rsidP="00F01499">
                  <w:pPr>
                    <w:tabs>
                      <w:tab w:val="clear" w:pos="851"/>
                    </w:tabs>
                    <w:spacing w:before="0" w:after="0"/>
                    <w:jc w:val="center"/>
                    <w:rPr>
                      <w:rFonts w:asciiTheme="minorHAnsi" w:hAnsiTheme="minorHAnsi"/>
                      <w:b/>
                      <w:lang w:val="es-ES"/>
                    </w:rPr>
                  </w:pPr>
                  <w:r w:rsidRPr="0065554C">
                    <w:rPr>
                      <w:rFonts w:asciiTheme="minorHAnsi" w:eastAsia="Calibri" w:hAnsiTheme="minorHAnsi" w:cs="Times New Roman"/>
                      <w:b/>
                      <w:szCs w:val="20"/>
                      <w:lang w:val="es-ES" w:bidi="ar-SA"/>
                    </w:rPr>
                    <w:t>425,196.45</w:t>
                  </w:r>
                </w:p>
              </w:tc>
              <w:tc>
                <w:tcPr>
                  <w:tcW w:w="1421" w:type="dxa"/>
                  <w:tcBorders>
                    <w:top w:val="nil"/>
                    <w:left w:val="nil"/>
                    <w:bottom w:val="single" w:sz="4" w:space="0" w:color="auto"/>
                    <w:right w:val="single" w:sz="4" w:space="0" w:color="auto"/>
                  </w:tcBorders>
                  <w:shd w:val="clear" w:color="auto" w:fill="auto"/>
                  <w:noWrap/>
                  <w:vAlign w:val="bottom"/>
                  <w:hideMark/>
                </w:tcPr>
                <w:p w14:paraId="27AFC67C" w14:textId="77777777" w:rsidR="00F01499" w:rsidRPr="0065554C" w:rsidRDefault="00F01499" w:rsidP="00F01499">
                  <w:pPr>
                    <w:tabs>
                      <w:tab w:val="clear" w:pos="851"/>
                    </w:tabs>
                    <w:spacing w:before="0" w:after="0"/>
                    <w:jc w:val="center"/>
                    <w:rPr>
                      <w:rFonts w:asciiTheme="minorHAnsi" w:hAnsiTheme="minorHAnsi"/>
                      <w:lang w:val="es-ES"/>
                    </w:rPr>
                  </w:pPr>
                  <w:r w:rsidRPr="0065554C">
                    <w:rPr>
                      <w:rFonts w:asciiTheme="minorHAnsi" w:eastAsia="Calibri" w:hAnsiTheme="minorHAnsi" w:cs="Times New Roman"/>
                      <w:szCs w:val="20"/>
                      <w:lang w:val="es-ES" w:bidi="ar-SA"/>
                    </w:rPr>
                    <w:t>0</w:t>
                  </w:r>
                </w:p>
              </w:tc>
            </w:tr>
          </w:tbl>
          <w:p w14:paraId="43447A01" w14:textId="77777777" w:rsidR="00F01499" w:rsidRPr="0065554C" w:rsidRDefault="00F01499" w:rsidP="00F01499">
            <w:pPr>
              <w:ind w:left="1068" w:right="333" w:hanging="360"/>
              <w:rPr>
                <w:rFonts w:asciiTheme="minorHAnsi" w:eastAsia="Calibri" w:hAnsiTheme="minorHAnsi"/>
              </w:rPr>
            </w:pPr>
          </w:p>
          <w:p w14:paraId="35096157" w14:textId="77777777" w:rsidR="00F01499" w:rsidRPr="0065554C" w:rsidRDefault="00F01499" w:rsidP="00F01499">
            <w:pPr>
              <w:ind w:left="720" w:right="333" w:hanging="360"/>
              <w:rPr>
                <w:rFonts w:asciiTheme="minorHAnsi" w:eastAsia="Calibri" w:hAnsiTheme="minorHAnsi"/>
              </w:rPr>
            </w:pPr>
          </w:p>
          <w:p w14:paraId="43E80C70" w14:textId="77777777" w:rsidR="00F01499" w:rsidRPr="0065554C" w:rsidRDefault="00F01499" w:rsidP="00F01499">
            <w:pPr>
              <w:ind w:left="720" w:right="333" w:hanging="360"/>
              <w:rPr>
                <w:rFonts w:ascii="Calibri" w:eastAsia="Calibri" w:hAnsi="Calibri"/>
              </w:rPr>
            </w:pPr>
          </w:p>
          <w:p w14:paraId="3832099E" w14:textId="77777777" w:rsidR="00F17064" w:rsidRPr="0065554C" w:rsidRDefault="00F17064" w:rsidP="00F01499">
            <w:pPr>
              <w:ind w:left="720" w:right="333" w:hanging="360"/>
              <w:rPr>
                <w:rFonts w:ascii="Calibri" w:eastAsia="Calibri" w:hAnsi="Calibri"/>
              </w:rPr>
            </w:pPr>
          </w:p>
          <w:p w14:paraId="72A7BF92" w14:textId="77777777" w:rsidR="00F17064" w:rsidRPr="0065554C" w:rsidRDefault="00F17064" w:rsidP="00F01499">
            <w:pPr>
              <w:ind w:left="720" w:right="333" w:hanging="360"/>
              <w:rPr>
                <w:rFonts w:ascii="Calibri" w:eastAsia="Calibri" w:hAnsi="Calibri"/>
              </w:rPr>
            </w:pPr>
          </w:p>
        </w:tc>
      </w:tr>
    </w:tbl>
    <w:p w14:paraId="03640A53" w14:textId="77777777" w:rsidR="004365C4" w:rsidRPr="0065554C" w:rsidRDefault="004365C4" w:rsidP="005E311D">
      <w:pPr>
        <w:pStyle w:val="Numeral"/>
        <w:numPr>
          <w:ilvl w:val="0"/>
          <w:numId w:val="0"/>
        </w:numPr>
        <w:ind w:left="851"/>
      </w:pPr>
    </w:p>
    <w:p w14:paraId="2FECCE65" w14:textId="1FF4B32D" w:rsidR="00160338" w:rsidRPr="0065554C" w:rsidRDefault="00160338" w:rsidP="005E311D">
      <w:pPr>
        <w:pStyle w:val="Numeral"/>
      </w:pPr>
      <w:r w:rsidRPr="0065554C">
        <w:t>Las Ofertas de Compra de los Compradores Potenciales deberán cumplir con lo previsto en el numeral 5.5.</w:t>
      </w:r>
      <w:r w:rsidR="00726B99" w:rsidRPr="0065554C">
        <w:t>3</w:t>
      </w:r>
      <w:r w:rsidRPr="0065554C">
        <w:t xml:space="preserve"> del Manual de Subastas de Largo Plazo y ser presentadas al CENACE </w:t>
      </w:r>
      <w:r w:rsidR="00726B99" w:rsidRPr="0065554C">
        <w:t>a través</w:t>
      </w:r>
      <w:r w:rsidRPr="0065554C">
        <w:t xml:space="preserve"> en el </w:t>
      </w:r>
      <w:r w:rsidRPr="0065554C">
        <w:rPr>
          <w:b/>
        </w:rPr>
        <w:t>Anexo IV.2</w:t>
      </w:r>
      <w:r w:rsidR="00DD3CF3" w:rsidRPr="0065554C">
        <w:rPr>
          <w:b/>
        </w:rPr>
        <w:t>B</w:t>
      </w:r>
      <w:r w:rsidR="004365C4" w:rsidRPr="0065554C">
        <w:rPr>
          <w:b/>
        </w:rPr>
        <w:t>is</w:t>
      </w:r>
      <w:r w:rsidR="00E64A32" w:rsidRPr="0065554C">
        <w:rPr>
          <w:b/>
        </w:rPr>
        <w:t xml:space="preserve"> </w:t>
      </w:r>
      <w:r w:rsidR="00E64A32" w:rsidRPr="0065554C">
        <w:t xml:space="preserve">y deberán presentar una declaración bajo protesta de decir verdad, firmada por el representante legal del Comprador Potencial, en la que manifieste que para el desarrollo de dicha Oferta de Compra no contó con la participación de las personas identificadas por la Secretaría, la CRE y el CENACE conforme al numeral 3.6.3 del Manual de Subastas de Largo Plazo a través del </w:t>
      </w:r>
      <w:r w:rsidR="00E64A32" w:rsidRPr="0065554C">
        <w:rPr>
          <w:b/>
        </w:rPr>
        <w:t>Anexo III.5</w:t>
      </w:r>
      <w:r w:rsidR="00970105">
        <w:rPr>
          <w:b/>
        </w:rPr>
        <w:t>Bis</w:t>
      </w:r>
      <w:r w:rsidR="00E64A32" w:rsidRPr="0065554C">
        <w:rPr>
          <w:b/>
        </w:rPr>
        <w:t>.</w:t>
      </w:r>
      <w:r w:rsidR="00E64A32" w:rsidRPr="0065554C">
        <w:t xml:space="preserve"> </w:t>
      </w:r>
      <w:r w:rsidRPr="0065554C">
        <w:t xml:space="preserve"> </w:t>
      </w:r>
    </w:p>
    <w:p w14:paraId="2AB6D408" w14:textId="77777777" w:rsidR="00160338" w:rsidRPr="0065554C" w:rsidRDefault="00160338" w:rsidP="005E311D">
      <w:pPr>
        <w:pStyle w:val="Numeral"/>
        <w:rPr>
          <w:rFonts w:eastAsiaTheme="majorEastAsia"/>
        </w:rPr>
      </w:pPr>
      <w:r w:rsidRPr="0065554C">
        <w:t>Las Entidades Responsables de Carga distintas a los Suministradores de Servicios Básicos deberán presentar sus Ofertas de Compra a más tardar en la fecha establecida en el Calendario de la Subasta.</w:t>
      </w:r>
    </w:p>
    <w:p w14:paraId="42F0FA7E" w14:textId="77777777" w:rsidR="00160338" w:rsidRPr="0065554C" w:rsidRDefault="00160338" w:rsidP="00160338">
      <w:pPr>
        <w:pStyle w:val="Seccin"/>
      </w:pPr>
      <w:bookmarkStart w:id="244" w:name="_Toc478737866"/>
      <w:bookmarkStart w:id="245" w:name="_Toc436487864"/>
      <w:bookmarkStart w:id="246" w:name="_Toc436433768"/>
      <w:bookmarkStart w:id="247" w:name="_Toc450052182"/>
      <w:bookmarkStart w:id="248" w:name="_Toc312964152"/>
      <w:bookmarkStart w:id="249" w:name="_Toc450201424"/>
      <w:bookmarkStart w:id="250" w:name="_Toc450638587"/>
      <w:bookmarkStart w:id="251" w:name="_Toc479255728"/>
      <w:bookmarkStart w:id="252" w:name="_Toc454100246"/>
      <w:bookmarkStart w:id="253" w:name="_Toc479763773"/>
      <w:bookmarkStart w:id="254" w:name="_Toc509413016"/>
      <w:r w:rsidRPr="0065554C">
        <w:t>Garantía de Seriedad para las Ofertas de Compra</w:t>
      </w:r>
      <w:bookmarkEnd w:id="244"/>
      <w:bookmarkEnd w:id="245"/>
      <w:bookmarkEnd w:id="246"/>
      <w:bookmarkEnd w:id="247"/>
      <w:bookmarkEnd w:id="248"/>
      <w:bookmarkEnd w:id="249"/>
      <w:bookmarkEnd w:id="250"/>
      <w:bookmarkEnd w:id="251"/>
      <w:bookmarkEnd w:id="252"/>
      <w:bookmarkEnd w:id="253"/>
      <w:bookmarkEnd w:id="254"/>
    </w:p>
    <w:p w14:paraId="31C68778" w14:textId="77777777" w:rsidR="006C29D5" w:rsidRPr="0065554C" w:rsidRDefault="006C29D5" w:rsidP="0029057E">
      <w:pPr>
        <w:pStyle w:val="Numeral"/>
      </w:pPr>
      <w:r w:rsidRPr="0065554C">
        <w:t xml:space="preserve">La Garantía de Seriedad deberá ser otorgada a través de Carta de Crédito Incondicional e irrevocable emitida en favor del CENACE necesariamente conforme al formato contenido en el </w:t>
      </w:r>
      <w:r w:rsidRPr="0065554C">
        <w:rPr>
          <w:b/>
        </w:rPr>
        <w:t>Anexo IV.</w:t>
      </w:r>
      <w:r w:rsidRPr="0065554C">
        <w:rPr>
          <w:b/>
          <w:lang w:val="es-MX"/>
        </w:rPr>
        <w:t xml:space="preserve">3Bis </w:t>
      </w:r>
      <w:r w:rsidRPr="0065554C">
        <w:rPr>
          <w:lang w:val="es-MX"/>
        </w:rPr>
        <w:t xml:space="preserve">y ser expedidas por las instituciones bancarias </w:t>
      </w:r>
      <w:r w:rsidR="00F42CE3" w:rsidRPr="0065554C">
        <w:rPr>
          <w:lang w:val="es-MX"/>
        </w:rPr>
        <w:t>a las que refiere el numeral 4.5.3 (b)</w:t>
      </w:r>
      <w:r w:rsidRPr="0065554C">
        <w:rPr>
          <w:lang w:val="es-MX"/>
        </w:rPr>
        <w:t>.</w:t>
      </w:r>
      <w:r w:rsidRPr="0065554C">
        <w:rPr>
          <w:b/>
          <w:lang w:val="es-MX"/>
        </w:rPr>
        <w:t xml:space="preserve"> </w:t>
      </w:r>
      <w:r w:rsidRPr="0065554C">
        <w:rPr>
          <w:lang w:val="es-MX"/>
        </w:rPr>
        <w:t xml:space="preserve">Para los casos en los que aquellos </w:t>
      </w:r>
      <w:r w:rsidR="00F74476" w:rsidRPr="0065554C">
        <w:rPr>
          <w:lang w:val="es-MX"/>
        </w:rPr>
        <w:t>C</w:t>
      </w:r>
      <w:r w:rsidRPr="0065554C">
        <w:rPr>
          <w:lang w:val="es-MX"/>
        </w:rPr>
        <w:t xml:space="preserve">ompradores </w:t>
      </w:r>
      <w:r w:rsidR="00F74476" w:rsidRPr="0065554C">
        <w:rPr>
          <w:lang w:val="es-MX"/>
        </w:rPr>
        <w:t>P</w:t>
      </w:r>
      <w:r w:rsidRPr="0065554C">
        <w:rPr>
          <w:lang w:val="es-MX"/>
        </w:rPr>
        <w:t>otenciales distintos al Suministrador de Servicios Básicos que tengan relación de negocios con instituciones bancarias en el extranjero deberán solicitar a dichas instituciones que utilicen sus bancos corresponsables en México para la emisión de cartas de crédito, ya que solamente se aceptarán las cartas de crédito que hayan sido emitidas por bancos domiciliados en la República Mexicana.</w:t>
      </w:r>
    </w:p>
    <w:p w14:paraId="2847DC50" w14:textId="065D4C20" w:rsidR="00D02BF7" w:rsidRPr="0065554C" w:rsidRDefault="009563D3" w:rsidP="00C84184">
      <w:pPr>
        <w:pStyle w:val="Numeral"/>
        <w:numPr>
          <w:ilvl w:val="0"/>
          <w:numId w:val="0"/>
        </w:numPr>
        <w:ind w:left="1844"/>
      </w:pPr>
      <w:r w:rsidRPr="0065554C">
        <w:t>D</w:t>
      </w:r>
      <w:r w:rsidR="0029057E" w:rsidRPr="0065554C">
        <w:t xml:space="preserve">entro del plazo establecido y </w:t>
      </w:r>
      <w:r w:rsidRPr="0065554C">
        <w:t xml:space="preserve">a </w:t>
      </w:r>
      <w:r w:rsidR="0029057E" w:rsidRPr="0065554C">
        <w:t>más tardar en la fecha límite señalada para ello en el Calendario de la Subasta</w:t>
      </w:r>
      <w:r w:rsidRPr="0065554C">
        <w:t>,</w:t>
      </w:r>
      <w:r w:rsidR="0029057E" w:rsidRPr="0065554C">
        <w:t xml:space="preserve"> </w:t>
      </w:r>
      <w:r w:rsidRPr="0065554C">
        <w:t xml:space="preserve">las instituciones financieras que emitan las cartas de crédito </w:t>
      </w:r>
      <w:r w:rsidR="0029057E" w:rsidRPr="0065554C">
        <w:t>remit</w:t>
      </w:r>
      <w:r w:rsidRPr="0065554C">
        <w:t>irá</w:t>
      </w:r>
      <w:r w:rsidR="0029057E" w:rsidRPr="0065554C">
        <w:t xml:space="preserve">n al CENACE los instrumentos originales que conforman la Garantía de Seriedad. </w:t>
      </w:r>
      <w:r w:rsidR="009D6898" w:rsidRPr="0065554C">
        <w:t xml:space="preserve">Para efectos de la presentación ante el CENACE de los instrumentos originales que integran la Garantía de Seriedad, las instituciones financieras podrán optar por remitirla de manera directa haciendo uso de servicios de mensajería, o bien, mediante la intervención directa de los Compradores Potenciales distintos al Suministrador de Servicios Básicos. En ambos casos, deberá observarse el plazo y horarios previstos en las presentes bases para la presentación de la Garantía de Seriedad, los cuales son </w:t>
      </w:r>
      <w:r w:rsidR="005527EE" w:rsidRPr="0065554C">
        <w:t>improrrogables</w:t>
      </w:r>
      <w:r w:rsidR="009D6898" w:rsidRPr="0065554C">
        <w:t>.</w:t>
      </w:r>
    </w:p>
    <w:p w14:paraId="67DBBB1B" w14:textId="77777777" w:rsidR="009B6A00" w:rsidRPr="0065554C" w:rsidRDefault="009B6A00" w:rsidP="009B6A00">
      <w:pPr>
        <w:pStyle w:val="Numeral"/>
        <w:numPr>
          <w:ilvl w:val="0"/>
          <w:numId w:val="0"/>
        </w:numPr>
        <w:ind w:left="1844"/>
      </w:pPr>
      <w:r w:rsidRPr="0065554C">
        <w:t xml:space="preserve">La Garantía de Seriedad original deberá cumplir con lo previsto en este numeral y el </w:t>
      </w:r>
      <w:r w:rsidRPr="0065554C">
        <w:rPr>
          <w:b/>
        </w:rPr>
        <w:t>Anexo IV.</w:t>
      </w:r>
      <w:r w:rsidRPr="0065554C">
        <w:rPr>
          <w:b/>
          <w:lang w:val="es-MX"/>
        </w:rPr>
        <w:t xml:space="preserve">3Bis </w:t>
      </w:r>
      <w:r w:rsidRPr="0065554C">
        <w:rPr>
          <w:lang w:val="es-MX"/>
        </w:rPr>
        <w:t xml:space="preserve">respetando íntegramente su contenido, paginado, tipografía, uso de mayúsculas y minúsculas, los signos de puntuación, interlineado, así como los aspectos de forma que se precisen en las capacitaciones respectivas, en el entendido que es inadmisible cualquier tipo de modificación u omisión en el contenido del </w:t>
      </w:r>
      <w:r w:rsidRPr="0065554C">
        <w:rPr>
          <w:b/>
          <w:lang w:val="es-MX"/>
        </w:rPr>
        <w:t xml:space="preserve">Anexo IV.3Bis. </w:t>
      </w:r>
      <w:r w:rsidRPr="0065554C">
        <w:rPr>
          <w:lang w:val="es-MX"/>
        </w:rPr>
        <w:t xml:space="preserve">Asimismo, </w:t>
      </w:r>
      <w:r w:rsidR="00703BCF" w:rsidRPr="0065554C">
        <w:rPr>
          <w:lang w:val="es-MX"/>
        </w:rPr>
        <w:t xml:space="preserve">cada instrumento que conforma </w:t>
      </w:r>
      <w:r w:rsidRPr="0065554C">
        <w:rPr>
          <w:lang w:val="es-MX"/>
        </w:rPr>
        <w:t xml:space="preserve">la Garantía de Seriedad deberá ser presentada junto con el escrito </w:t>
      </w:r>
      <w:r w:rsidR="00AD7AD2" w:rsidRPr="0065554C">
        <w:rPr>
          <w:lang w:val="es-MX"/>
        </w:rPr>
        <w:lastRenderedPageBreak/>
        <w:t xml:space="preserve">denominado “aceptación de términos para la impresión y envío de carta de crédito”, el </w:t>
      </w:r>
      <w:r w:rsidRPr="0065554C">
        <w:rPr>
          <w:lang w:val="es-MX"/>
        </w:rPr>
        <w:t xml:space="preserve">cual deberá estar elaborado en papel membretado </w:t>
      </w:r>
      <w:r w:rsidR="00703BCF" w:rsidRPr="0065554C">
        <w:rPr>
          <w:lang w:val="es-MX"/>
        </w:rPr>
        <w:t>del Comprador Potencial distinto al Suministrador de Servicios Básicos que se trate</w:t>
      </w:r>
      <w:r w:rsidRPr="0065554C">
        <w:rPr>
          <w:lang w:val="es-MX"/>
        </w:rPr>
        <w:t>.</w:t>
      </w:r>
    </w:p>
    <w:p w14:paraId="73A5F709" w14:textId="77777777" w:rsidR="00160338" w:rsidRPr="0065554C" w:rsidRDefault="009B6A00" w:rsidP="008455EF">
      <w:pPr>
        <w:pStyle w:val="Numeral"/>
        <w:numPr>
          <w:ilvl w:val="0"/>
          <w:numId w:val="0"/>
        </w:numPr>
        <w:ind w:left="1844"/>
      </w:pPr>
      <w:r w:rsidRPr="0065554C">
        <w:t xml:space="preserve">La Garantía de Seriedad podrá exhibirse en uno o varios instrumentos de una misma o distintas instituciones de crédito integrantes del Sistema Bancario Mexicano que estén legalmente facultadas para emitir Cartas de Crédito de acuerdo a la Ley de Instituciones de Crédito, siempre que se presenten conforme al modelo previsto en el </w:t>
      </w:r>
      <w:r w:rsidRPr="0065554C">
        <w:rPr>
          <w:b/>
        </w:rPr>
        <w:t>Anexo IV.3Bis</w:t>
      </w:r>
      <w:r w:rsidRPr="0065554C">
        <w:t xml:space="preserve"> antes de o simultáneamente con la Oferta de Compra y más tardar en la fecha límite señalada para ello en el Calendario de la Subasta. La totalidad de instrumentos que conforman el monto de la Garantía de Seriedad deberá entregarse físicamente en un sobre dirigido al Ing. Jesús Ávila Camarena junto con el original del escrito denominado “Aceptación de Términos para la Impresión y Envío de Carta de Crédito”, a más tardar en la fecha señalada en el Calendario de la Subasta para tal efecto, en el domicilio ubicado en Boulevard Adolfo López Mateos No. 2157, piso 11, Colonia Los Alpes, Delegación Álvaro Obregón, C.P. 01010, Ciudad de México, de lunes a viernes, en un horario de 9:00 a 15:00 horas.</w:t>
      </w:r>
      <w:r w:rsidR="00160338" w:rsidRPr="0065554C">
        <w:t xml:space="preserve"> </w:t>
      </w:r>
    </w:p>
    <w:p w14:paraId="41031A9E" w14:textId="77777777" w:rsidR="0029057E" w:rsidRPr="0065554C" w:rsidRDefault="0029057E" w:rsidP="0029057E">
      <w:pPr>
        <w:pStyle w:val="Numeral"/>
      </w:pPr>
      <w:r w:rsidRPr="0065554C">
        <w:t>Si la Garantía de Seriedad que respalda las obligaciones del Comprador Potencial no cumple con los requisitos de forma y</w:t>
      </w:r>
      <w:r w:rsidR="008455EF" w:rsidRPr="0065554C">
        <w:t>/o</w:t>
      </w:r>
      <w:r w:rsidRPr="0065554C">
        <w:t xml:space="preserve"> con el monto mínimo previsto en las presentes Bases de Licitación, y sí y solo si fue presentada al CENACE con al menos </w:t>
      </w:r>
      <w:r w:rsidR="00893E32" w:rsidRPr="0065554C">
        <w:t xml:space="preserve">cinco </w:t>
      </w:r>
      <w:r w:rsidRPr="0065554C">
        <w:t xml:space="preserve"> días hábiles de anticipación a la fecha límite para presentar </w:t>
      </w:r>
      <w:r w:rsidR="008455EF" w:rsidRPr="0065554C">
        <w:t xml:space="preserve">las </w:t>
      </w:r>
      <w:r w:rsidRPr="0065554C">
        <w:t xml:space="preserve">Garantías de Seriedad señalada en el Calendario de la Subasta, </w:t>
      </w:r>
      <w:r w:rsidR="009B6A00" w:rsidRPr="0065554C">
        <w:t xml:space="preserve">el CENACE lo hará del conocimiento del Comprador Potencial y de la institución de crédito que haya emitido la o las cartas de crédito que actualicen este supuesto, </w:t>
      </w:r>
      <w:bookmarkStart w:id="255" w:name="_Hlk505262293"/>
      <w:r w:rsidR="009B6A00" w:rsidRPr="0065554C">
        <w:t xml:space="preserve">dentro de los </w:t>
      </w:r>
      <w:r w:rsidR="00893E32" w:rsidRPr="0065554C">
        <w:t xml:space="preserve">tres </w:t>
      </w:r>
      <w:r w:rsidR="009B6A00" w:rsidRPr="0065554C">
        <w:t xml:space="preserve"> días hábiles siguientes </w:t>
      </w:r>
      <w:bookmarkEnd w:id="255"/>
      <w:r w:rsidR="009B6A00" w:rsidRPr="0065554C">
        <w:t>para que se presenten de nueva cuenta los instrumentos que integran la Garantía de Seriedad</w:t>
      </w:r>
      <w:r w:rsidRPr="0065554C">
        <w:t>.</w:t>
      </w:r>
    </w:p>
    <w:p w14:paraId="2F20ED1A" w14:textId="77777777" w:rsidR="009B6A00" w:rsidRPr="0065554C" w:rsidRDefault="009B6A00" w:rsidP="009B6A00">
      <w:pPr>
        <w:pStyle w:val="Numeral"/>
        <w:numPr>
          <w:ilvl w:val="0"/>
          <w:numId w:val="0"/>
        </w:numPr>
        <w:ind w:left="1844"/>
      </w:pPr>
      <w:r w:rsidRPr="0065554C">
        <w:t>Las comisiones y gastos que pudieran ser generados por la reimpresión de la carta de crédito, serán por cuenta de su ordenante, y en ningún caso serán cargados por el Banco Emisor al CENACE en su calidad de beneficiario.</w:t>
      </w:r>
    </w:p>
    <w:p w14:paraId="1D34BFC9" w14:textId="77777777" w:rsidR="009B6A00" w:rsidRPr="0065554C" w:rsidRDefault="009B6A00" w:rsidP="009B6A00">
      <w:pPr>
        <w:pStyle w:val="Numeral"/>
        <w:numPr>
          <w:ilvl w:val="0"/>
          <w:numId w:val="0"/>
        </w:numPr>
        <w:ind w:left="1844"/>
      </w:pPr>
      <w:r w:rsidRPr="0065554C">
        <w:t xml:space="preserve">Dentro de los </w:t>
      </w:r>
      <w:r w:rsidR="00893E32" w:rsidRPr="0065554C">
        <w:t>diez</w:t>
      </w:r>
      <w:r w:rsidRPr="0065554C">
        <w:t xml:space="preserve"> días hábiles posteriores a la fecha de emisión de Constancias de </w:t>
      </w:r>
      <w:r w:rsidR="00F42CE3" w:rsidRPr="0065554C">
        <w:t>registro de Comprador Potencial</w:t>
      </w:r>
      <w:r w:rsidRPr="0065554C">
        <w:t>, el CENACE remitirá al Banco Emisor las impresiones de las cartas de crédito que no cumplieron con los requisitos de forma y/o con el monto mínimo previsto en las Bases de Licitación.</w:t>
      </w:r>
    </w:p>
    <w:p w14:paraId="0BAE447C" w14:textId="77777777" w:rsidR="00160338" w:rsidRPr="0065554C" w:rsidRDefault="00160338" w:rsidP="005E311D">
      <w:pPr>
        <w:pStyle w:val="Numeral"/>
      </w:pPr>
      <w:r w:rsidRPr="0065554C">
        <w:t xml:space="preserve">La Garantía de Seriedad deberá tener las siguientes características: </w:t>
      </w:r>
    </w:p>
    <w:p w14:paraId="378600F2" w14:textId="77777777" w:rsidR="00160338" w:rsidRPr="0065554C" w:rsidRDefault="00160338" w:rsidP="005E311D">
      <w:pPr>
        <w:pStyle w:val="Inciso"/>
      </w:pPr>
      <w:r w:rsidRPr="0065554C">
        <w:t xml:space="preserve">Ser otorgada a través de carta de crédito incondicional e irrevocable </w:t>
      </w:r>
      <w:r w:rsidRPr="0065554C">
        <w:rPr>
          <w:i/>
        </w:rPr>
        <w:t>standby,</w:t>
      </w:r>
      <w:r w:rsidRPr="0065554C">
        <w:t xml:space="preserve"> emitida en favor del CENACE </w:t>
      </w:r>
      <w:r w:rsidR="009B6A00" w:rsidRPr="0065554C">
        <w:t>respetando en su totalidad e</w:t>
      </w:r>
      <w:r w:rsidRPr="0065554C">
        <w:t xml:space="preserve">l modelo previsto en el </w:t>
      </w:r>
      <w:r w:rsidRPr="0065554C">
        <w:rPr>
          <w:b/>
        </w:rPr>
        <w:t>Anexo IV.</w:t>
      </w:r>
      <w:r w:rsidR="00053F70" w:rsidRPr="0065554C">
        <w:rPr>
          <w:b/>
        </w:rPr>
        <w:t>3</w:t>
      </w:r>
      <w:r w:rsidRPr="0065554C">
        <w:rPr>
          <w:b/>
        </w:rPr>
        <w:t xml:space="preserve"> Bis</w:t>
      </w:r>
      <w:r w:rsidRPr="0065554C">
        <w:t xml:space="preserve">. </w:t>
      </w:r>
    </w:p>
    <w:p w14:paraId="2ADF0AB9" w14:textId="77777777" w:rsidR="00160338" w:rsidRPr="0065554C" w:rsidRDefault="00160338" w:rsidP="005E311D">
      <w:pPr>
        <w:pStyle w:val="Inciso"/>
      </w:pPr>
      <w:r w:rsidRPr="0065554C">
        <w:t xml:space="preserve">Haber sido emitida por una institución de crédito integrante del Sistema Bancario Mexicano que esté legalmente facultada para emitir Cartas de Crédito de acuerdo a la Ley de Instituciones de Crédito, mismas que podrán ser consultadas en el </w:t>
      </w:r>
      <w:r w:rsidR="003A76BA" w:rsidRPr="0065554C">
        <w:t xml:space="preserve">siguiente enlace: </w:t>
      </w:r>
      <w:hyperlink r:id="rId18" w:history="1">
        <w:r w:rsidR="003A76BA" w:rsidRPr="0065554C">
          <w:rPr>
            <w:rStyle w:val="Hipervnculo"/>
            <w:color w:val="auto"/>
          </w:rPr>
          <w:t>http://www.cenace.gob.mx/Paginas/Publicas/MercadoOperacion/Garantias.aspx</w:t>
        </w:r>
      </w:hyperlink>
      <w:r w:rsidRPr="0065554C">
        <w:t>.</w:t>
      </w:r>
    </w:p>
    <w:p w14:paraId="49AB27A2" w14:textId="77777777" w:rsidR="00160338" w:rsidRPr="0065554C" w:rsidRDefault="00160338" w:rsidP="005E311D">
      <w:pPr>
        <w:pStyle w:val="Inciso"/>
      </w:pPr>
      <w:r w:rsidRPr="0065554C">
        <w:lastRenderedPageBreak/>
        <w:t>Podrá ser presentada en Pesos o en Dólares. En este último caso, para determinar su monto en Pesos se utilizará el tipo de cambio publicado por el Banco de México en el Diario Oficial de la Federación cinco días hábiles antes a la fecha</w:t>
      </w:r>
      <w:r w:rsidR="007C5417" w:rsidRPr="0065554C">
        <w:t xml:space="preserve"> </w:t>
      </w:r>
      <w:r w:rsidRPr="0065554C">
        <w:t xml:space="preserve">de presentación de dicha Garantía ante el CENACE. </w:t>
      </w:r>
    </w:p>
    <w:p w14:paraId="461C562E" w14:textId="77777777" w:rsidR="00160338" w:rsidRPr="0065554C" w:rsidRDefault="00160338" w:rsidP="005E311D">
      <w:pPr>
        <w:pStyle w:val="Inciso"/>
      </w:pPr>
      <w:r w:rsidRPr="0065554C">
        <w:t>La razón o denominación social del Comprador Potencial cuyas obligaciones se garantizan deberá ser idéntica a la que consta en la documentación legal presentada como Comprador Potencial en el Sitio. En caso de tratarse de un Consorcio, la garantía deberá hacer mención de cada</w:t>
      </w:r>
      <w:r w:rsidR="00646135" w:rsidRPr="0065554C">
        <w:t xml:space="preserve"> </w:t>
      </w:r>
      <w:r w:rsidRPr="0065554C">
        <w:t>uno de los miembros del Consorcio</w:t>
      </w:r>
      <w:r w:rsidR="009B6A00" w:rsidRPr="0065554C">
        <w:t>.</w:t>
      </w:r>
      <w:r w:rsidR="007C5417" w:rsidRPr="0065554C">
        <w:t xml:space="preserve"> </w:t>
      </w:r>
      <w:r w:rsidR="009B6A00" w:rsidRPr="0065554C">
        <w:t>En caso de no resultar posible incluir la razón o denominación social de cada uno de los integrantes del Consorcio, bastará con que se refiera al menos a uno de ellos, en virtud de que éstos asumen una responsabilidad solidaria dentro de la Subasta.</w:t>
      </w:r>
    </w:p>
    <w:p w14:paraId="482304DE" w14:textId="77777777" w:rsidR="00160338" w:rsidRPr="0065554C" w:rsidRDefault="00160338" w:rsidP="005E311D">
      <w:pPr>
        <w:pStyle w:val="Inciso"/>
      </w:pPr>
      <w:r w:rsidRPr="0065554C">
        <w:t>La fecha de vencimiento de la carta de crédito que conforma la Garantía de Seriedad deberá ser cuando menos un mes posterior a la fecha que el Calendario de la Subasta señale como fecha límite para la firma del Contrato.</w:t>
      </w:r>
    </w:p>
    <w:p w14:paraId="027E908B" w14:textId="77777777" w:rsidR="00160338" w:rsidRPr="0065554C" w:rsidRDefault="00160338" w:rsidP="005E311D">
      <w:pPr>
        <w:pStyle w:val="Numeral"/>
      </w:pPr>
      <w:r w:rsidRPr="0065554C">
        <w:t>El monto mínimo de la Garantía de Seriedad será calculado por cada Comprador Potencial conforme a lo siguiente:</w:t>
      </w:r>
    </w:p>
    <w:p w14:paraId="4C7BDA72" w14:textId="77777777" w:rsidR="009B6A00" w:rsidRPr="0065554C" w:rsidRDefault="009B6A00" w:rsidP="009B6A00">
      <w:pPr>
        <w:pStyle w:val="Inciso"/>
      </w:pPr>
      <w:r w:rsidRPr="0065554C">
        <w:t>65,000 (sesenta y cinco mil) UDIs por MW de Potencia que pretenda ofrecer comprar en la Subasta por año, más</w:t>
      </w:r>
    </w:p>
    <w:p w14:paraId="467818DD" w14:textId="77777777" w:rsidR="009B6A00" w:rsidRPr="0065554C" w:rsidRDefault="009B6A00" w:rsidP="009B6A00">
      <w:pPr>
        <w:pStyle w:val="Inciso"/>
      </w:pPr>
      <w:r w:rsidRPr="0065554C">
        <w:t xml:space="preserve">30 (treinta) UDIs por cada MWh de Energía Eléctrica Acumulable que pretenda ofrecer comprar en la Subasta por año, más </w:t>
      </w:r>
    </w:p>
    <w:p w14:paraId="085EB1C7" w14:textId="77777777" w:rsidR="009B6A00" w:rsidRPr="0065554C" w:rsidRDefault="009B6A00" w:rsidP="009B6A00">
      <w:pPr>
        <w:pStyle w:val="Inciso"/>
      </w:pPr>
      <w:r w:rsidRPr="0065554C">
        <w:t>15 (quince) UDIs por cada CEL que pretenda ofrecer comprar en la Subasta por año.</w:t>
      </w:r>
    </w:p>
    <w:p w14:paraId="33D6CA74" w14:textId="77777777" w:rsidR="00160338" w:rsidRPr="0065554C" w:rsidRDefault="00160338" w:rsidP="005E311D">
      <w:pPr>
        <w:pStyle w:val="Numeral"/>
      </w:pPr>
      <w:r w:rsidRPr="0065554C">
        <w:t xml:space="preserve">El CENACE verificará que las Ofertas de Compra presentadas por las Entidades Responsables de Carga que no sean Suministradores de Servicios Básicos se encuentren debidamente respaldadas por la Garantía de Seriedad correspondiente. </w:t>
      </w:r>
      <w:r w:rsidR="00375B9D" w:rsidRPr="0065554C">
        <w:t>En caso de que</w:t>
      </w:r>
      <w:r w:rsidRPr="0065554C">
        <w:t xml:space="preserve"> las </w:t>
      </w:r>
      <w:r w:rsidR="001A2D89" w:rsidRPr="0065554C">
        <w:t>cantidades que</w:t>
      </w:r>
      <w:r w:rsidR="0003137F" w:rsidRPr="0065554C">
        <w:t xml:space="preserve"> ofrezcan comprar</w:t>
      </w:r>
      <w:r w:rsidRPr="0065554C">
        <w:t xml:space="preserve"> rebasen las cantidades respaldadas por la Garantía de Seriedad presentada, las cantidades de dicha Entidad Responsable de Carga serán reducidas de manera proporcional de conformidad con y para los mismos efectos de lo previsto en el numeral 5.5.2(c), del Manual de Subastas de Largo Plazo. </w:t>
      </w:r>
    </w:p>
    <w:p w14:paraId="52218F98" w14:textId="77777777" w:rsidR="00160338" w:rsidRPr="0065554C" w:rsidRDefault="00160338" w:rsidP="005E311D">
      <w:pPr>
        <w:pStyle w:val="Numeral"/>
      </w:pPr>
      <w:r w:rsidRPr="0065554C">
        <w:t>La Garantía de Seriedad es un requisito indispensable para presentar Ofertas de Compra</w:t>
      </w:r>
      <w:r w:rsidR="00FB1622" w:rsidRPr="0065554C">
        <w:t>,</w:t>
      </w:r>
      <w:r w:rsidR="0085243F" w:rsidRPr="0065554C">
        <w:t xml:space="preserve"> </w:t>
      </w:r>
      <w:r w:rsidRPr="0065554C">
        <w:t>por lo que</w:t>
      </w:r>
      <w:r w:rsidR="00053F70" w:rsidRPr="0065554C">
        <w:t>,</w:t>
      </w:r>
      <w:r w:rsidRPr="0065554C">
        <w:t xml:space="preserve"> si no se entrega a más tardar en la fecha señalada en el Calendario de la Subasta </w:t>
      </w:r>
      <w:r w:rsidR="0039416D" w:rsidRPr="0065554C">
        <w:t>en el horario y ubicación mencionados en el numeral 4.5.1</w:t>
      </w:r>
      <w:r w:rsidR="0039416D" w:rsidRPr="0065554C">
        <w:rPr>
          <w:b/>
        </w:rPr>
        <w:t xml:space="preserve"> </w:t>
      </w:r>
      <w:r w:rsidR="0039416D" w:rsidRPr="0065554C">
        <w:t>de las presentes Bases de Licitación,</w:t>
      </w:r>
      <w:r w:rsidRPr="0065554C">
        <w:t xml:space="preserve"> no cumple con los requisitos de forma y con el monto mínimo previstos en el Manual de Subastas de Largo Plazo y en las Bases de Licitación, el Comprador Potencial no habrá acreditado que presentó en tiempo y forma</w:t>
      </w:r>
      <w:r w:rsidR="0039416D" w:rsidRPr="0065554C">
        <w:t xml:space="preserve"> su Garantía de Seriedad</w:t>
      </w:r>
      <w:r w:rsidRPr="0065554C">
        <w:t>, y por lo tanto, no podrá presentar Ofertas de Compra asociadas a dicha Garantía de Seriedad.</w:t>
      </w:r>
    </w:p>
    <w:p w14:paraId="6C8E90AF" w14:textId="77777777" w:rsidR="00D675C5" w:rsidRPr="0065554C" w:rsidRDefault="00D675C5" w:rsidP="00D675C5">
      <w:pPr>
        <w:pStyle w:val="Numeral"/>
      </w:pPr>
      <w:r w:rsidRPr="0065554C">
        <w:t>Una vez que el CENACE determine las Ofertas de Compra Aceptadas, las Garantías de Seriedad que respaldan a las Ofertas de Compra que no hayan sido declaradas aceptadas se liberarán en los términos señalados en los numerales 7.1.5 y 7.1.6 de las presentes Bases de Licitación.</w:t>
      </w:r>
    </w:p>
    <w:p w14:paraId="34517AF1" w14:textId="77777777" w:rsidR="00D675C5" w:rsidRPr="0065554C" w:rsidRDefault="00D675C5" w:rsidP="00D675C5">
      <w:pPr>
        <w:pStyle w:val="Numeral"/>
      </w:pPr>
      <w:r w:rsidRPr="0065554C">
        <w:lastRenderedPageBreak/>
        <w:t xml:space="preserve">En caso de que las Ofertas de Compra del Comprador Potencial resulten aceptadas, una vez que el o los Contratos correspondientes hayan sido suscritos por parte del Comprador Potencial, se podrá llevar a cabo el proceso de </w:t>
      </w:r>
      <w:r w:rsidR="00976F42" w:rsidRPr="0065554C">
        <w:t>cancelación de</w:t>
      </w:r>
      <w:r w:rsidRPr="0065554C">
        <w:t xml:space="preserve"> la Garantía de Seriedad, previa solicitud por escrito.</w:t>
      </w:r>
    </w:p>
    <w:p w14:paraId="34E642A6" w14:textId="77777777" w:rsidR="0039416D" w:rsidRPr="0065554C" w:rsidRDefault="00D675C5" w:rsidP="00D57637">
      <w:pPr>
        <w:pStyle w:val="Numeral"/>
      </w:pPr>
      <w:r w:rsidRPr="0065554C">
        <w:t xml:space="preserve">Para </w:t>
      </w:r>
      <w:r w:rsidR="0039416D" w:rsidRPr="0065554C">
        <w:t>proceder con la</w:t>
      </w:r>
      <w:r w:rsidRPr="0065554C">
        <w:t xml:space="preserve"> cancelación de la Garantía de Seriedad, el CENACE emitirá su conformidad sobre la cancelación de la carta de crédito mediante el </w:t>
      </w:r>
      <w:r w:rsidR="0039416D" w:rsidRPr="0065554C">
        <w:t>A</w:t>
      </w:r>
      <w:r w:rsidR="001546C6" w:rsidRPr="0065554C">
        <w:t>nexo</w:t>
      </w:r>
      <w:r w:rsidR="0039416D" w:rsidRPr="0065554C">
        <w:t xml:space="preserve"> “D” </w:t>
      </w:r>
      <w:r w:rsidR="001546C6" w:rsidRPr="0065554C">
        <w:t>“</w:t>
      </w:r>
      <w:r w:rsidR="0039416D" w:rsidRPr="0065554C">
        <w:t>F</w:t>
      </w:r>
      <w:r w:rsidR="001546C6" w:rsidRPr="0065554C">
        <w:t>ormato de conformidad de cancelación de la carta de crédito standby irrevocable”</w:t>
      </w:r>
      <w:r w:rsidR="0039416D" w:rsidRPr="0065554C">
        <w:t xml:space="preserve"> incluido en el </w:t>
      </w:r>
      <w:r w:rsidR="0039416D" w:rsidRPr="0065554C">
        <w:rPr>
          <w:b/>
        </w:rPr>
        <w:t>Anexo IV.3Bis,</w:t>
      </w:r>
      <w:r w:rsidR="0039416D" w:rsidRPr="0065554C">
        <w:t xml:space="preserve"> y será necesario que el Comprador Potencial solicite mediante un escrito libre la cancelación de la o las Carta de Crédito presentadas. El CENACE enviará al Banco emisor el Anexo </w:t>
      </w:r>
      <w:r w:rsidR="00F16CFA" w:rsidRPr="0065554C">
        <w:t>“</w:t>
      </w:r>
      <w:r w:rsidR="0039416D" w:rsidRPr="0065554C">
        <w:t>D</w:t>
      </w:r>
      <w:r w:rsidR="00F16CFA" w:rsidRPr="0065554C">
        <w:t>”</w:t>
      </w:r>
      <w:r w:rsidR="0039416D" w:rsidRPr="0065554C">
        <w:t xml:space="preserve"> mencionado a más tardar </w:t>
      </w:r>
      <w:r w:rsidR="00893E32" w:rsidRPr="0065554C">
        <w:t xml:space="preserve">diez </w:t>
      </w:r>
      <w:r w:rsidR="0039416D" w:rsidRPr="0065554C">
        <w:t>días hábiles posteriores a la fecha en que se realice la solicitud correspondiente.</w:t>
      </w:r>
    </w:p>
    <w:p w14:paraId="00979EA5" w14:textId="77777777" w:rsidR="00D675C5" w:rsidRPr="0065554C" w:rsidRDefault="0039416D" w:rsidP="0039416D">
      <w:pPr>
        <w:pStyle w:val="Numeral"/>
        <w:numPr>
          <w:ilvl w:val="0"/>
          <w:numId w:val="0"/>
        </w:numPr>
        <w:ind w:left="1844"/>
      </w:pPr>
      <w:bookmarkStart w:id="256" w:name="_Hlk505270205"/>
      <w:r w:rsidRPr="0065554C">
        <w:t>Una vez cumplido con lo anterior y con posterioridad al plazo referido en el párrafo anterior, el Comprador Potencial distinto al Suministrador de Servicios Básicos podrá recibir por parte del CENACE copia simple del acuse de recibido por parte del Banco Emisor. Con relación a la conformidad de cancelación emitida por el CENACE, el Comprador Potencial distinto al Suministrador de Servicios Básicos confirmará la cancelación de la o las Cartas de Crédito presentadas directamente con el Banco Emisor, habiendo transcurrido el plazo descrito en el párrafo anterior.</w:t>
      </w:r>
      <w:bookmarkEnd w:id="256"/>
    </w:p>
    <w:p w14:paraId="53ADC63B" w14:textId="77777777" w:rsidR="0039416D" w:rsidRPr="0065554C" w:rsidRDefault="00D675C5" w:rsidP="00D57637">
      <w:pPr>
        <w:pStyle w:val="Numeral"/>
      </w:pPr>
      <w:r w:rsidRPr="0065554C">
        <w:t xml:space="preserve">Para </w:t>
      </w:r>
      <w:r w:rsidR="0039416D" w:rsidRPr="0065554C">
        <w:t>solicitar</w:t>
      </w:r>
      <w:r w:rsidRPr="0065554C">
        <w:t xml:space="preserve"> una reducción de importe de la Garantía de Seriedad, será necesario que el CENACE emita su conformidad </w:t>
      </w:r>
      <w:r w:rsidR="0039416D" w:rsidRPr="0065554C">
        <w:t xml:space="preserve">por </w:t>
      </w:r>
      <w:r w:rsidRPr="0065554C">
        <w:t xml:space="preserve">escrito en términos del </w:t>
      </w:r>
      <w:r w:rsidR="0039416D" w:rsidRPr="0065554C">
        <w:t>A</w:t>
      </w:r>
      <w:r w:rsidR="001546C6" w:rsidRPr="0065554C">
        <w:t>nexo</w:t>
      </w:r>
      <w:r w:rsidR="0039416D" w:rsidRPr="0065554C">
        <w:t xml:space="preserve"> “C” </w:t>
      </w:r>
      <w:r w:rsidR="001546C6" w:rsidRPr="0065554C">
        <w:t>“</w:t>
      </w:r>
      <w:r w:rsidR="0039416D" w:rsidRPr="0065554C">
        <w:t>F</w:t>
      </w:r>
      <w:r w:rsidR="001546C6" w:rsidRPr="0065554C">
        <w:t>ormato de conformidad de reducción de importe de la carta de crédito standby irrevocable”</w:t>
      </w:r>
      <w:r w:rsidR="0039416D" w:rsidRPr="0065554C">
        <w:t xml:space="preserve"> incluido en el </w:t>
      </w:r>
      <w:r w:rsidR="0039416D" w:rsidRPr="0065554C">
        <w:rPr>
          <w:b/>
        </w:rPr>
        <w:t>Anexo IV.3Bis</w:t>
      </w:r>
      <w:r w:rsidR="0039416D" w:rsidRPr="0065554C">
        <w:t xml:space="preserve">, para lo cual será necesario que el Comprador Potencial presente al CENACE un oficio solicitando el monto de reducción e indicando el importe final de la carta de crédito considerando el monto a disminuir. En caso de proceder, el CENACE será el encargado de remitir el </w:t>
      </w:r>
      <w:r w:rsidR="0039416D" w:rsidRPr="0065554C">
        <w:rPr>
          <w:szCs w:val="20"/>
        </w:rPr>
        <w:t xml:space="preserve">referido </w:t>
      </w:r>
      <w:r w:rsidR="0039416D" w:rsidRPr="0065554C">
        <w:t xml:space="preserve">Anexo C ante el Banco emisor de la carta de crédito dentro de los </w:t>
      </w:r>
      <w:r w:rsidR="0065554C" w:rsidRPr="0065554C">
        <w:t>diez días</w:t>
      </w:r>
      <w:r w:rsidR="0039416D" w:rsidRPr="0065554C">
        <w:t xml:space="preserve"> hábiles posteriores a la presentación de la solicitud por escrito.</w:t>
      </w:r>
    </w:p>
    <w:p w14:paraId="4C9A984E" w14:textId="77777777" w:rsidR="00D675C5" w:rsidRPr="0065554C" w:rsidRDefault="0039416D" w:rsidP="0039416D">
      <w:pPr>
        <w:pStyle w:val="Numeral"/>
        <w:numPr>
          <w:ilvl w:val="0"/>
          <w:numId w:val="0"/>
        </w:numPr>
        <w:ind w:left="1844"/>
      </w:pPr>
      <w:bookmarkStart w:id="257" w:name="_Hlk505273927"/>
      <w:r w:rsidRPr="0065554C">
        <w:t>Una vez cumplido con lo anterior y con posterioridad al plazo referido el Comprador Potencial distinto al Suministrador de Servicios Básicos podrá recibir por parte del CENACE copia simple del acuse de recibido por el Banco Emisor. Con relación a la conformidad de reducción de importe emitida por el CENACE, el Comprador Potencial distinto al Suministrador de Servicios Básicos confirmará la cancelación de la o las Cartas de Crédito presentadas directamente con el Banco Emisor, habiendo transcurrido el plazo descrito en el párrafo anterior.</w:t>
      </w:r>
      <w:bookmarkEnd w:id="257"/>
    </w:p>
    <w:p w14:paraId="61D1C997" w14:textId="77777777" w:rsidR="00D675C5" w:rsidRPr="0065554C" w:rsidRDefault="0039416D" w:rsidP="00D675C5">
      <w:pPr>
        <w:pStyle w:val="Numeral"/>
      </w:pPr>
      <w:r w:rsidRPr="0065554C">
        <w:t>Las modificaciones</w:t>
      </w:r>
      <w:r w:rsidR="00D675C5" w:rsidRPr="0065554C">
        <w:t xml:space="preserve"> al contenido de la Garantía de Seriedad </w:t>
      </w:r>
      <w:r w:rsidRPr="0065554C">
        <w:t>aceptada por el CENACE que implique actualizar la fecha señalada en el numeral 4.5.3 inciso e), originada por cualquier modificación en los calendarios previstos o por alguna otra situación autorizada por el CENACE, será necesario que el Comprador Potencial instruya al banco Emisor de la o las Cartas de Crédito presentadas ante el CENACE para que estos emitan el A</w:t>
      </w:r>
      <w:r w:rsidR="001546C6" w:rsidRPr="0065554C">
        <w:t>nexo</w:t>
      </w:r>
      <w:r w:rsidRPr="0065554C">
        <w:t xml:space="preserve"> “B”</w:t>
      </w:r>
      <w:r w:rsidRPr="0065554C">
        <w:rPr>
          <w:b/>
        </w:rPr>
        <w:t xml:space="preserve"> </w:t>
      </w:r>
      <w:r w:rsidR="001546C6" w:rsidRPr="0065554C">
        <w:rPr>
          <w:b/>
        </w:rPr>
        <w:t>“</w:t>
      </w:r>
      <w:r w:rsidR="001546C6" w:rsidRPr="0065554C">
        <w:t xml:space="preserve">Formato de modificación a la carta de crédito standby” </w:t>
      </w:r>
      <w:r w:rsidRPr="0065554C">
        <w:t xml:space="preserve"> incluido en el </w:t>
      </w:r>
      <w:r w:rsidRPr="0065554C">
        <w:rPr>
          <w:b/>
        </w:rPr>
        <w:t xml:space="preserve">Anexo IV.3Bis, </w:t>
      </w:r>
      <w:r w:rsidRPr="0065554C">
        <w:t xml:space="preserve">mismo que deberá estar debidamente elaborado respetando íntegramente el contenido, paginado, tipografía, uso de mayúsculas y minúsculas, los signos de puntuación, e interlineado establecidos. Este documento deberá ser presentado en un plazo que no excederá de </w:t>
      </w:r>
      <w:r w:rsidR="00893E32" w:rsidRPr="0065554C">
        <w:t xml:space="preserve">diez </w:t>
      </w:r>
      <w:r w:rsidRPr="0065554C">
        <w:t xml:space="preserve"> </w:t>
      </w:r>
      <w:r w:rsidRPr="0065554C">
        <w:lastRenderedPageBreak/>
        <w:t>días hábiles posteriores a la notificación que realice CENACE para hacer del conocimiento del Comprador Potencial y del Banco Emisor la necesidad de actualizar el contenido de las Cartas de Crédito aceptadas.</w:t>
      </w:r>
    </w:p>
    <w:p w14:paraId="482F9D37" w14:textId="77777777" w:rsidR="00D675C5" w:rsidRPr="0065554C" w:rsidRDefault="00D675C5" w:rsidP="00D675C5">
      <w:pPr>
        <w:pStyle w:val="Numeral"/>
      </w:pPr>
      <w:r w:rsidRPr="0065554C">
        <w:t>Para efectos de los numerales 4.5.</w:t>
      </w:r>
      <w:r w:rsidR="00CF26D3" w:rsidRPr="0065554C">
        <w:t>9</w:t>
      </w:r>
      <w:r w:rsidRPr="0065554C">
        <w:t xml:space="preserve"> y 4.5.1</w:t>
      </w:r>
      <w:r w:rsidR="00CF26D3" w:rsidRPr="0065554C">
        <w:t>0</w:t>
      </w:r>
      <w:r w:rsidRPr="0065554C">
        <w:t>, el Comprador Potencial deberá presentar en la misma dirección y horarios mencionados en el numeral 4.4.1, escrito libre en el que se expongan las razones para justificar la emisión de los formatos de conformidad de cancelación y de reducción del importe, respectivamente.</w:t>
      </w:r>
    </w:p>
    <w:p w14:paraId="65AF2E61" w14:textId="77777777" w:rsidR="00D675C5" w:rsidRPr="0065554C" w:rsidRDefault="00D675C5" w:rsidP="00976F42">
      <w:pPr>
        <w:pStyle w:val="Numeral"/>
      </w:pPr>
      <w:r w:rsidRPr="0065554C">
        <w:t>Las personas que podrán suscribir y presentar el escrito libre mencionado en el numeral anterior, serán las siguientes personas:</w:t>
      </w:r>
    </w:p>
    <w:p w14:paraId="0C93328E" w14:textId="77777777" w:rsidR="00D675C5" w:rsidRPr="0065554C" w:rsidRDefault="00D675C5" w:rsidP="00D675C5">
      <w:pPr>
        <w:pStyle w:val="Inciso"/>
      </w:pPr>
      <w:r w:rsidRPr="0065554C">
        <w:t>Los representantes legales designados por los Compradores Potenciales ante el Centro Nacional de Control de Energía, anexando copia simple de su identificación oficial;</w:t>
      </w:r>
    </w:p>
    <w:p w14:paraId="060739F8" w14:textId="77777777" w:rsidR="00D675C5" w:rsidRPr="0065554C" w:rsidRDefault="00D675C5" w:rsidP="00D675C5">
      <w:pPr>
        <w:pStyle w:val="Inciso"/>
      </w:pPr>
      <w:r w:rsidRPr="0065554C">
        <w:t xml:space="preserve">Cualquier otra persona, distinta a la que se refiere el inciso anterior, deberá presentar carta poder </w:t>
      </w:r>
      <w:r w:rsidR="00976F42" w:rsidRPr="0065554C">
        <w:t xml:space="preserve">en original y copia de identificación oficial del </w:t>
      </w:r>
      <w:r w:rsidR="006949C3" w:rsidRPr="0065554C">
        <w:t>poderdante;</w:t>
      </w:r>
    </w:p>
    <w:p w14:paraId="5E47A467" w14:textId="77777777" w:rsidR="00D675C5" w:rsidRPr="0065554C" w:rsidRDefault="00D675C5" w:rsidP="00D675C5">
      <w:pPr>
        <w:pStyle w:val="Inciso"/>
      </w:pPr>
      <w:r w:rsidRPr="0065554C" w:rsidDel="00E660D8">
        <w:t>En caso de no ser el representante legal designado ante el CENACE, podrá presentarse otra persona que tenga el carácter de representante legal del Comprador Potencial, debiendo traer consigo original y copia para su cotejo, del instrumento que lo acredite como tal, así como identificación oficial en original y copia para los mismos fines.</w:t>
      </w:r>
    </w:p>
    <w:p w14:paraId="7D7ADDEE" w14:textId="77777777" w:rsidR="00D675C5" w:rsidRPr="0065554C" w:rsidRDefault="00D675C5" w:rsidP="00D675C5">
      <w:pPr>
        <w:pStyle w:val="Inciso"/>
        <w:rPr>
          <w:rFonts w:eastAsiaTheme="majorEastAsia"/>
        </w:rPr>
      </w:pPr>
      <w:r w:rsidRPr="0065554C">
        <w:t>Cualquier otra persona, distinta a la que se refiere el numeral anterior, deberá presentar carta poder en original y copia, si trata del representante a que se refiere el inciso anterior, acompañada con copia de la identificación oficial del poderdante, así como original y copia para su cotejo, del instrumento que acredite como representante legal de la Comprador Potencial al poderdante, y, copia y original de la identificación oficial del apoderado.</w:t>
      </w:r>
    </w:p>
    <w:p w14:paraId="6DA0DD7B" w14:textId="77777777" w:rsidR="00160338" w:rsidRPr="0065554C" w:rsidRDefault="00160338" w:rsidP="00160338">
      <w:pPr>
        <w:pStyle w:val="Seccin"/>
      </w:pPr>
      <w:bookmarkStart w:id="258" w:name="_Toc450052183"/>
      <w:bookmarkStart w:id="259" w:name="_Toc312964153"/>
      <w:bookmarkStart w:id="260" w:name="_Toc450201425"/>
      <w:bookmarkStart w:id="261" w:name="_Toc436487865"/>
      <w:bookmarkStart w:id="262" w:name="_Toc436433769"/>
      <w:bookmarkStart w:id="263" w:name="_Toc450638588"/>
      <w:bookmarkStart w:id="264" w:name="_Toc479255729"/>
      <w:bookmarkStart w:id="265" w:name="_Toc454100247"/>
      <w:bookmarkStart w:id="266" w:name="_Toc479763774"/>
      <w:bookmarkStart w:id="267" w:name="_Toc509413017"/>
      <w:r w:rsidRPr="0065554C">
        <w:t xml:space="preserve">Notificación de las Ofertas de Compra </w:t>
      </w:r>
      <w:bookmarkEnd w:id="258"/>
      <w:bookmarkEnd w:id="259"/>
      <w:bookmarkEnd w:id="260"/>
      <w:r w:rsidRPr="0065554C">
        <w:t>Aceptada</w:t>
      </w:r>
      <w:bookmarkEnd w:id="261"/>
      <w:bookmarkEnd w:id="262"/>
      <w:r w:rsidRPr="0065554C">
        <w:t>s</w:t>
      </w:r>
      <w:bookmarkEnd w:id="263"/>
      <w:bookmarkEnd w:id="264"/>
      <w:bookmarkEnd w:id="265"/>
      <w:bookmarkEnd w:id="266"/>
      <w:bookmarkEnd w:id="267"/>
    </w:p>
    <w:p w14:paraId="4F5DB8C9" w14:textId="77777777" w:rsidR="00160338" w:rsidRPr="0065554C" w:rsidRDefault="00160338" w:rsidP="005E311D">
      <w:pPr>
        <w:pStyle w:val="Numeral"/>
      </w:pPr>
      <w:r w:rsidRPr="0065554C">
        <w:t>Una vez determinadas las Ofertas de Compra Aceptadas, el CENACE dará a conocer al menos la siguiente información:</w:t>
      </w:r>
    </w:p>
    <w:p w14:paraId="5986CFA9" w14:textId="77777777" w:rsidR="00160338" w:rsidRPr="0065554C" w:rsidRDefault="00160338" w:rsidP="005E311D">
      <w:pPr>
        <w:pStyle w:val="Inciso"/>
      </w:pPr>
      <w:r w:rsidRPr="0065554C">
        <w:t>Las cantidades de Productos incluidos en las Ofertas de Compra Aceptadas.</w:t>
      </w:r>
    </w:p>
    <w:p w14:paraId="23D95BAA" w14:textId="77777777" w:rsidR="00160338" w:rsidRPr="0065554C" w:rsidRDefault="00160338" w:rsidP="005E311D">
      <w:pPr>
        <w:pStyle w:val="Inciso"/>
      </w:pPr>
      <w:r w:rsidRPr="0065554C">
        <w:t>Los precios correspondientes para cada Oferta de Compra Aceptada.</w:t>
      </w:r>
    </w:p>
    <w:p w14:paraId="649E575B" w14:textId="77777777" w:rsidR="00160338" w:rsidRPr="0065554C" w:rsidRDefault="00160338" w:rsidP="005E311D">
      <w:pPr>
        <w:pStyle w:val="Inciso"/>
      </w:pPr>
      <w:r w:rsidRPr="0065554C">
        <w:t xml:space="preserve">Los porcentajes máximos respecto a la cantidad de cada Producto que se puedan recibir con fecha de inicio ofertada irregular anticipada, y con fecha de inicio ofertada irregular retrasada. </w:t>
      </w:r>
    </w:p>
    <w:p w14:paraId="298A2CA8" w14:textId="45FE8F85" w:rsidR="00160338" w:rsidRPr="0065554C" w:rsidRDefault="00160338" w:rsidP="005E311D">
      <w:pPr>
        <w:pStyle w:val="Inciso"/>
      </w:pPr>
      <w:r w:rsidRPr="0065554C">
        <w:t xml:space="preserve">Los precios máximos que, en su caso, haya emitido la CRE, o bien, que haya establecido el </w:t>
      </w:r>
      <w:r w:rsidR="0089074A">
        <w:t>Suministrador de Servicios Básicos</w:t>
      </w:r>
      <w:r w:rsidRPr="0065554C">
        <w:t>.</w:t>
      </w:r>
    </w:p>
    <w:p w14:paraId="34DFE067" w14:textId="77777777" w:rsidR="00160338" w:rsidRPr="0065554C" w:rsidRDefault="00160338" w:rsidP="005E311D">
      <w:pPr>
        <w:pStyle w:val="Numeral"/>
      </w:pPr>
      <w:r w:rsidRPr="0065554C">
        <w:t xml:space="preserve">A más tardar en la fecha límite señalada para ello en el Calendario de la Subasta, la información de las Ofertas de Compra Aceptadas señalada en el numeral anterior se </w:t>
      </w:r>
      <w:r w:rsidRPr="0065554C">
        <w:lastRenderedPageBreak/>
        <w:t>notificará a todos los Interesados a través del Sitio y se publicará también en la página web del CENACE.</w:t>
      </w:r>
    </w:p>
    <w:p w14:paraId="0BB0B22D" w14:textId="77777777" w:rsidR="00160338" w:rsidRPr="0065554C" w:rsidRDefault="00160338" w:rsidP="00361661">
      <w:pPr>
        <w:pStyle w:val="Captulo"/>
      </w:pPr>
      <w:bookmarkStart w:id="268" w:name="_Toc436433770"/>
      <w:r w:rsidRPr="0065554C">
        <w:lastRenderedPageBreak/>
        <w:t xml:space="preserve"> </w:t>
      </w:r>
      <w:bookmarkStart w:id="269" w:name="_Toc478985499"/>
      <w:bookmarkStart w:id="270" w:name="_Toc478985500"/>
      <w:bookmarkEnd w:id="269"/>
      <w:bookmarkEnd w:id="270"/>
      <w:r w:rsidRPr="0065554C">
        <w:br/>
      </w:r>
      <w:bookmarkStart w:id="271" w:name="_Toc436487866"/>
      <w:bookmarkStart w:id="272" w:name="_Toc450052184"/>
      <w:bookmarkStart w:id="273" w:name="_Toc312964154"/>
      <w:bookmarkStart w:id="274" w:name="_Toc450201426"/>
      <w:bookmarkStart w:id="275" w:name="_Toc450638589"/>
      <w:bookmarkStart w:id="276" w:name="_Toc479255730"/>
      <w:bookmarkStart w:id="277" w:name="_Toc454100248"/>
      <w:bookmarkStart w:id="278" w:name="_Toc479763775"/>
      <w:bookmarkStart w:id="279" w:name="_Toc509413018"/>
      <w:r w:rsidRPr="0065554C">
        <w:t>Precalificación de las Ofertas de Venta</w:t>
      </w:r>
      <w:bookmarkEnd w:id="268"/>
      <w:bookmarkEnd w:id="271"/>
      <w:bookmarkEnd w:id="272"/>
      <w:bookmarkEnd w:id="273"/>
      <w:bookmarkEnd w:id="274"/>
      <w:bookmarkEnd w:id="275"/>
      <w:bookmarkEnd w:id="276"/>
      <w:bookmarkEnd w:id="277"/>
      <w:bookmarkEnd w:id="278"/>
      <w:bookmarkEnd w:id="279"/>
    </w:p>
    <w:p w14:paraId="14B02B43" w14:textId="77777777" w:rsidR="00FB1622" w:rsidRPr="0065554C" w:rsidRDefault="00FB1622" w:rsidP="00D42E95">
      <w:pPr>
        <w:pStyle w:val="Seccin"/>
        <w:numPr>
          <w:ilvl w:val="1"/>
          <w:numId w:val="11"/>
        </w:numPr>
      </w:pPr>
      <w:bookmarkStart w:id="280" w:name="_Toc479255731"/>
      <w:bookmarkStart w:id="281" w:name="_Toc479763776"/>
      <w:bookmarkStart w:id="282" w:name="_Toc509413019"/>
      <w:bookmarkStart w:id="283" w:name="_Toc436487867"/>
      <w:bookmarkStart w:id="284" w:name="_Toc436433771"/>
      <w:bookmarkStart w:id="285" w:name="_Toc450052185"/>
      <w:bookmarkStart w:id="286" w:name="_Toc312964155"/>
      <w:bookmarkStart w:id="287" w:name="_Toc450201427"/>
      <w:bookmarkStart w:id="288" w:name="_Toc450638590"/>
      <w:r w:rsidRPr="0065554C">
        <w:t xml:space="preserve">Disposiciones </w:t>
      </w:r>
      <w:r w:rsidR="001546C6" w:rsidRPr="0065554C">
        <w:t>G</w:t>
      </w:r>
      <w:r w:rsidRPr="0065554C">
        <w:t>enerales</w:t>
      </w:r>
      <w:bookmarkEnd w:id="280"/>
      <w:bookmarkEnd w:id="281"/>
      <w:bookmarkEnd w:id="282"/>
    </w:p>
    <w:bookmarkEnd w:id="283"/>
    <w:bookmarkEnd w:id="284"/>
    <w:bookmarkEnd w:id="285"/>
    <w:bookmarkEnd w:id="286"/>
    <w:bookmarkEnd w:id="287"/>
    <w:bookmarkEnd w:id="288"/>
    <w:p w14:paraId="457864AF" w14:textId="77777777" w:rsidR="00160338" w:rsidRPr="0065554C" w:rsidRDefault="00160338" w:rsidP="005E311D">
      <w:pPr>
        <w:pStyle w:val="Numeral"/>
      </w:pPr>
      <w:r w:rsidRPr="0065554C">
        <w:t>Con el objeto de facilitar el proceso de evaluación de las Ofertas de Venta, cada Oferta de Venta se sujetará a un proceso de precalificación a través del cual el CENACE:</w:t>
      </w:r>
    </w:p>
    <w:p w14:paraId="36BB6205" w14:textId="77777777" w:rsidR="00160338" w:rsidRPr="0065554C" w:rsidRDefault="00160338" w:rsidP="005E311D">
      <w:pPr>
        <w:pStyle w:val="Inciso"/>
      </w:pPr>
      <w:r w:rsidRPr="0065554C">
        <w:t>verificará que se han realizado los pagos para la adquisición de las Bases de Licitación y para la evaluación de la solicitud de precalificación correspondiente</w:t>
      </w:r>
      <w:r w:rsidR="00F52655" w:rsidRPr="0065554C">
        <w:t>, más el pago por cada Oferta de Venta que se presente, independientemente de que las mismas sean condicionadas o mutuamente excluyentes. Los pagos deberán corresponder al número de folio con el cual se presenta la solicitud de precalificación.</w:t>
      </w:r>
    </w:p>
    <w:p w14:paraId="4DAC287E" w14:textId="77777777" w:rsidR="00160338" w:rsidRPr="0065554C" w:rsidRDefault="00160338" w:rsidP="005E311D">
      <w:pPr>
        <w:pStyle w:val="Inciso"/>
      </w:pPr>
      <w:r w:rsidRPr="0065554C">
        <w:t>revisará el contenido de la oferta técnica de esa Oferta de Venta (</w:t>
      </w:r>
      <w:r w:rsidR="0061261A" w:rsidRPr="0065554C">
        <w:t xml:space="preserve">mas </w:t>
      </w:r>
      <w:r w:rsidRPr="0065554C">
        <w:t>no el contenido de la oferta económica</w:t>
      </w:r>
      <w:r w:rsidR="00FB1622" w:rsidRPr="0065554C">
        <w:t>),</w:t>
      </w:r>
      <w:r w:rsidRPr="0065554C">
        <w:t xml:space="preserve"> a fin de validar si el mismo permite acreditar o no la suficiente capacidad legal, </w:t>
      </w:r>
      <w:r w:rsidR="00EE1B2E" w:rsidRPr="0065554C">
        <w:t xml:space="preserve">financiera, </w:t>
      </w:r>
      <w:r w:rsidRPr="0065554C">
        <w:t xml:space="preserve">técnica y de ejecución, que tendría el Licitante para honrar esa Oferta de Venta; y, en su caso, </w:t>
      </w:r>
    </w:p>
    <w:p w14:paraId="609A38F9" w14:textId="77777777" w:rsidR="00160338" w:rsidRPr="0065554C" w:rsidRDefault="00160338" w:rsidP="005E311D">
      <w:pPr>
        <w:pStyle w:val="Inciso"/>
      </w:pPr>
      <w:r w:rsidRPr="0065554C">
        <w:t>verificará que la Garantía de Seriedad para esa Oferta de Venta ha sido debidamente presentada en los términos previstos en el Manual de Subastas de Largo Plazo y las Bases de Licitación.</w:t>
      </w:r>
    </w:p>
    <w:p w14:paraId="17888213" w14:textId="77777777" w:rsidR="0061261A" w:rsidRPr="0065554C" w:rsidRDefault="0061261A" w:rsidP="005E311D">
      <w:pPr>
        <w:pStyle w:val="Numeral"/>
      </w:pPr>
      <w:r w:rsidRPr="0065554C">
        <w:t>Cada Oferta de Venta estará integrada por una oferta técnica y una oferta económica:</w:t>
      </w:r>
    </w:p>
    <w:p w14:paraId="6AF2CFAB" w14:textId="77777777" w:rsidR="0061261A" w:rsidRPr="0065554C" w:rsidRDefault="0061261A" w:rsidP="005E311D">
      <w:pPr>
        <w:pStyle w:val="Inciso"/>
      </w:pPr>
      <w:r w:rsidRPr="0065554C">
        <w:t xml:space="preserve"> La oferta técnica estará integrada por la documentación que haya sido presentada por el Interesado en la solicitud de precalificación de la Oferta de Venta correspondiente. </w:t>
      </w:r>
    </w:p>
    <w:p w14:paraId="0015B8E1" w14:textId="77777777" w:rsidR="0061261A" w:rsidRPr="0065554C" w:rsidRDefault="0061261A" w:rsidP="005E311D">
      <w:pPr>
        <w:pStyle w:val="Inciso"/>
      </w:pPr>
      <w:r w:rsidRPr="0065554C">
        <w:t xml:space="preserve">La oferta económica estará integrada por el precio, el señalamiento sobre la indexación de la oferta y la documentación que acredite el estatus de interconexión de las centrales eléctricas. Por lo tanto, el Licitante emitirá una oferta económica por cada oferta técnica de Oferta de Venta que cuente con Constancia de Precalificación. La oferta económica implica la presentación de la oferta técnica en idénticos términos en que haya sido presentada en la etapa de precalificación. </w:t>
      </w:r>
    </w:p>
    <w:p w14:paraId="5C6236A0" w14:textId="77777777" w:rsidR="00160338" w:rsidRPr="0065554C" w:rsidRDefault="00160338" w:rsidP="005E311D">
      <w:pPr>
        <w:pStyle w:val="Numeral"/>
      </w:pPr>
      <w:r w:rsidRPr="0065554C">
        <w:t xml:space="preserve">Cuando el contenido de la oferta técnica de una Oferta de Venta permita acreditar que el </w:t>
      </w:r>
      <w:r w:rsidR="00804E6A" w:rsidRPr="0065554C">
        <w:t xml:space="preserve">Licitante </w:t>
      </w:r>
      <w:r w:rsidRPr="0065554C">
        <w:t xml:space="preserve">cuenta con la suficiente capacidad legal, </w:t>
      </w:r>
      <w:r w:rsidR="006A71AE" w:rsidRPr="0065554C">
        <w:t xml:space="preserve">financiera, </w:t>
      </w:r>
      <w:r w:rsidRPr="0065554C">
        <w:t xml:space="preserve">técnica y de ejecución para honrar la Oferta de Venta que pretenda presentar en la Subasta (sujeto al otorgamiento de la Garantía de Seriedad correspondiente), el CENACE emitirá un Dictamen Favorable y, una vez que el </w:t>
      </w:r>
      <w:r w:rsidR="00903C2A" w:rsidRPr="0065554C">
        <w:t>Licitante</w:t>
      </w:r>
      <w:r w:rsidRPr="0065554C">
        <w:t xml:space="preserve"> haya presentado la Garantía de Seriedad correspondiente, el CENACE emitirá una Constancia de Precalificación para la Oferta de Venta de que se trate.</w:t>
      </w:r>
    </w:p>
    <w:p w14:paraId="3ED67C61" w14:textId="77777777" w:rsidR="00160338" w:rsidRPr="0065554C" w:rsidRDefault="00160338" w:rsidP="005E311D">
      <w:pPr>
        <w:pStyle w:val="Numeral"/>
      </w:pPr>
      <w:r w:rsidRPr="0065554C">
        <w:t xml:space="preserve">La Constancia de Precalificación será el instrumento que emita el CENACE para hacer constar que el </w:t>
      </w:r>
      <w:r w:rsidR="006E6A9B" w:rsidRPr="0065554C">
        <w:t>Licitante</w:t>
      </w:r>
      <w:r w:rsidRPr="0065554C">
        <w:t xml:space="preserve"> acreditó contar con suficiente capacidad legal, financiera</w:t>
      </w:r>
      <w:r w:rsidR="006A71AE" w:rsidRPr="0065554C">
        <w:t>,</w:t>
      </w:r>
      <w:r w:rsidRPr="0065554C">
        <w:t xml:space="preserve"> </w:t>
      </w:r>
      <w:r w:rsidR="006A71AE" w:rsidRPr="0065554C">
        <w:t xml:space="preserve">técnica y de ejecución </w:t>
      </w:r>
      <w:r w:rsidRPr="0065554C">
        <w:t xml:space="preserve">para honrar una Oferta de Venta que pretende presentar en la Subasta; que ha realizado los pagos correspondientes a la adquisición de las Bases de Licitación y a la </w:t>
      </w:r>
      <w:r w:rsidRPr="0065554C">
        <w:lastRenderedPageBreak/>
        <w:t xml:space="preserve">evaluación de su solicitud de precalificación de esa Oferta de Venta, y que ha presentado la Garantía de Seriedad correspondiente a esa Oferta de Venta, por lo cual se encuentra legitimado para presentar </w:t>
      </w:r>
      <w:r w:rsidR="00FB1622" w:rsidRPr="0065554C">
        <w:t xml:space="preserve">la oferta económica de </w:t>
      </w:r>
      <w:r w:rsidRPr="0065554C">
        <w:t>esa Oferta de Venta en la Subasta</w:t>
      </w:r>
      <w:r w:rsidR="00FB1622" w:rsidRPr="0065554C">
        <w:t>,</w:t>
      </w:r>
      <w:r w:rsidRPr="0065554C">
        <w:t xml:space="preserve"> según lo previsto en ese instrumento y hasta el límite que le permita el monto de su Garantía de Seriedad.</w:t>
      </w:r>
    </w:p>
    <w:p w14:paraId="456E7E10" w14:textId="77777777" w:rsidR="00160338" w:rsidRPr="0065554C" w:rsidRDefault="00160338" w:rsidP="005E311D">
      <w:pPr>
        <w:pStyle w:val="Numeral"/>
      </w:pPr>
      <w:r w:rsidRPr="0065554C">
        <w:t>El CENACE sólo evaluará las Ofertas de Venta</w:t>
      </w:r>
      <w:r w:rsidR="00873DEC" w:rsidRPr="0065554C">
        <w:t xml:space="preserve"> Económicas</w:t>
      </w:r>
      <w:r w:rsidRPr="0065554C">
        <w:t xml:space="preserve"> que hayan obtenido una </w:t>
      </w:r>
      <w:r w:rsidR="00FB1622" w:rsidRPr="0065554C">
        <w:t xml:space="preserve">Constancia de </w:t>
      </w:r>
      <w:r w:rsidR="00D93729" w:rsidRPr="0065554C">
        <w:t>P</w:t>
      </w:r>
      <w:r w:rsidRPr="0065554C">
        <w:t>recalificación</w:t>
      </w:r>
      <w:r w:rsidR="00FB1622" w:rsidRPr="0065554C">
        <w:t xml:space="preserve"> </w:t>
      </w:r>
      <w:r w:rsidRPr="0065554C">
        <w:t>en la Subasta</w:t>
      </w:r>
      <w:r w:rsidR="00FB1622" w:rsidRPr="0065554C">
        <w:t xml:space="preserve">. </w:t>
      </w:r>
    </w:p>
    <w:p w14:paraId="3AE70A13" w14:textId="77777777" w:rsidR="00160338" w:rsidRPr="0065554C" w:rsidRDefault="00160338" w:rsidP="005E311D">
      <w:pPr>
        <w:pStyle w:val="Numeral"/>
      </w:pPr>
      <w:r w:rsidRPr="0065554C">
        <w:t>Las solicitudes de precalificación de Ofertas de Venta deberán cumplir con lo previsto en el numeral 5.3 para su debida integración y presentación.</w:t>
      </w:r>
    </w:p>
    <w:p w14:paraId="4C7A41B6" w14:textId="77777777" w:rsidR="00160338" w:rsidRPr="0065554C" w:rsidRDefault="00FB1622" w:rsidP="00160338">
      <w:pPr>
        <w:pStyle w:val="Seccin"/>
      </w:pPr>
      <w:bookmarkStart w:id="289" w:name="_Toc454100250"/>
      <w:bookmarkStart w:id="290" w:name="_Toc479255732"/>
      <w:bookmarkStart w:id="291" w:name="_Toc435900712"/>
      <w:bookmarkStart w:id="292" w:name="_Toc436487868"/>
      <w:bookmarkStart w:id="293" w:name="_Toc436433772"/>
      <w:bookmarkStart w:id="294" w:name="_Toc450052186"/>
      <w:bookmarkStart w:id="295" w:name="_Toc312964156"/>
      <w:bookmarkStart w:id="296" w:name="_Toc450201428"/>
      <w:bookmarkStart w:id="297" w:name="_Toc450638591"/>
      <w:bookmarkStart w:id="298" w:name="_Toc479763779"/>
      <w:bookmarkStart w:id="299" w:name="_Toc509413020"/>
      <w:r w:rsidRPr="0065554C">
        <w:t>Requisitos para la</w:t>
      </w:r>
      <w:r w:rsidR="003E64B9" w:rsidRPr="0065554C">
        <w:t xml:space="preserve"> </w:t>
      </w:r>
      <w:r w:rsidR="001546C6" w:rsidRPr="0065554C">
        <w:t>P</w:t>
      </w:r>
      <w:r w:rsidR="003E64B9" w:rsidRPr="0065554C">
        <w:t>recalificación de</w:t>
      </w:r>
      <w:r w:rsidRPr="0065554C">
        <w:t xml:space="preserve"> </w:t>
      </w:r>
      <w:bookmarkStart w:id="300" w:name="_Toc479763780"/>
      <w:bookmarkEnd w:id="289"/>
      <w:bookmarkEnd w:id="290"/>
      <w:bookmarkEnd w:id="291"/>
      <w:bookmarkEnd w:id="292"/>
      <w:bookmarkEnd w:id="293"/>
      <w:bookmarkEnd w:id="294"/>
      <w:bookmarkEnd w:id="295"/>
      <w:bookmarkEnd w:id="296"/>
      <w:bookmarkEnd w:id="297"/>
      <w:bookmarkEnd w:id="298"/>
      <w:r w:rsidR="00160338" w:rsidRPr="0065554C">
        <w:t>Ofertas de Venta</w:t>
      </w:r>
      <w:bookmarkEnd w:id="300"/>
      <w:r w:rsidR="003E64B9" w:rsidRPr="0065554C">
        <w:t>.</w:t>
      </w:r>
      <w:bookmarkEnd w:id="299"/>
    </w:p>
    <w:p w14:paraId="0937AF8C" w14:textId="77777777" w:rsidR="00160338" w:rsidRPr="0065554C" w:rsidRDefault="00160338" w:rsidP="005E311D">
      <w:pPr>
        <w:pStyle w:val="Numeral"/>
      </w:pPr>
      <w:r w:rsidRPr="0065554C">
        <w:t xml:space="preserve">Para que el CENACE emita la Constancia de Precalificación para cada Oferta de Venta, el </w:t>
      </w:r>
      <w:r w:rsidR="00BF03F6" w:rsidRPr="0065554C">
        <w:t xml:space="preserve">Licitante </w:t>
      </w:r>
      <w:r w:rsidRPr="0065554C">
        <w:t>deberá acreditar en tiempo y forma:</w:t>
      </w:r>
    </w:p>
    <w:p w14:paraId="38564BD3" w14:textId="77777777" w:rsidR="00160338" w:rsidRPr="0065554C" w:rsidRDefault="00E75C08" w:rsidP="005E311D">
      <w:pPr>
        <w:pStyle w:val="Inciso"/>
      </w:pPr>
      <w:r w:rsidRPr="0065554C">
        <w:t xml:space="preserve">Que ha cubierto el costo </w:t>
      </w:r>
      <w:r w:rsidR="00160338" w:rsidRPr="0065554C">
        <w:t>de adquisición de las Bases de Licitación, mismo que bastará con que sea pagado una vez independientemente del número de Ofertas de Venta que desee presentar en la Subasta.</w:t>
      </w:r>
    </w:p>
    <w:p w14:paraId="61A7BFCF" w14:textId="77777777" w:rsidR="00197F15" w:rsidRPr="0065554C" w:rsidRDefault="00160338" w:rsidP="00197F15">
      <w:pPr>
        <w:pStyle w:val="Inciso"/>
      </w:pPr>
      <w:r w:rsidRPr="0065554C">
        <w:t>Que se han cubierto los costos correspondientes a la evaluación de la solicitud de precalificación de Oferta de Venta</w:t>
      </w:r>
      <w:r w:rsidR="003E64B9" w:rsidRPr="0065554C">
        <w:t>, tomando en</w:t>
      </w:r>
      <w:r w:rsidRPr="0065554C">
        <w:t xml:space="preserve"> cuenta el número total de Ofertas de Venta que desee presentar en la Subasta.</w:t>
      </w:r>
    </w:p>
    <w:p w14:paraId="7B764016" w14:textId="77777777" w:rsidR="00427A99" w:rsidRPr="0065554C" w:rsidRDefault="00427A99" w:rsidP="00427A99">
      <w:pPr>
        <w:pStyle w:val="Inciso"/>
      </w:pPr>
      <w:r w:rsidRPr="0065554C">
        <w:t xml:space="preserve">Que se ha aceptado el uso de medios electrónicos de comunicación en la etapa de Precalificación, </w:t>
      </w:r>
      <w:r w:rsidR="000346D6" w:rsidRPr="0065554C">
        <w:t xml:space="preserve">mediante la presentación del formato </w:t>
      </w:r>
      <w:r w:rsidRPr="0065554C">
        <w:t xml:space="preserve">contenido en el </w:t>
      </w:r>
      <w:r w:rsidRPr="0065554C">
        <w:rPr>
          <w:b/>
        </w:rPr>
        <w:t>Anexo V. 19</w:t>
      </w:r>
      <w:r w:rsidRPr="0065554C">
        <w:t>.</w:t>
      </w:r>
    </w:p>
    <w:p w14:paraId="02858EAC" w14:textId="77777777" w:rsidR="00160338" w:rsidRPr="0065554C" w:rsidRDefault="00160338" w:rsidP="005E311D">
      <w:pPr>
        <w:pStyle w:val="Inciso"/>
      </w:pPr>
      <w:r w:rsidRPr="0065554C">
        <w:t xml:space="preserve">Que cuenta con suficiente capacidad legal, </w:t>
      </w:r>
      <w:r w:rsidR="006A71AE" w:rsidRPr="0065554C">
        <w:t xml:space="preserve">financiera, </w:t>
      </w:r>
      <w:r w:rsidRPr="0065554C">
        <w:t>técnica y de ejecución para honrar la</w:t>
      </w:r>
      <w:r w:rsidR="009D2B32" w:rsidRPr="0065554C">
        <w:t xml:space="preserve"> o las</w:t>
      </w:r>
      <w:r w:rsidRPr="0065554C">
        <w:t xml:space="preserve"> Oferta</w:t>
      </w:r>
      <w:r w:rsidR="009D2B32" w:rsidRPr="0065554C">
        <w:t>s</w:t>
      </w:r>
      <w:r w:rsidRPr="0065554C">
        <w:t xml:space="preserve"> de Venta que desea presentar en la Subasta, atendiendo en todo momento a lo previsto en los numerales 5.6.3 a 5.6.5 del Manual de Subastas de Largo Plazo. Para ello, el CENACE verificará los siguientes parámetros:</w:t>
      </w:r>
    </w:p>
    <w:p w14:paraId="58BF0791" w14:textId="77777777" w:rsidR="00160338" w:rsidRPr="0065554C" w:rsidRDefault="00D93729" w:rsidP="00E42757">
      <w:pPr>
        <w:pStyle w:val="Subinciso"/>
      </w:pPr>
      <w:r w:rsidRPr="0065554C">
        <w:t>S</w:t>
      </w:r>
      <w:r w:rsidR="00160338" w:rsidRPr="0065554C">
        <w:t xml:space="preserve">i es persona moral, </w:t>
      </w:r>
      <w:r w:rsidRPr="0065554C">
        <w:t xml:space="preserve">que </w:t>
      </w:r>
      <w:r w:rsidR="00160338" w:rsidRPr="0065554C">
        <w:t>está legalmente constituido y que su representante legal cuenta con las facultades necesarias para representarlo en la Subasta; si es persona física, que cuenta con capacidad legal para participar en la Subasta; y en caso de ser Consorcio, que cada una de las partes integrantes del mismo está legalmente constituido y que el representante legal de cada una de las partes, en caso de ser personas morales cuentan con las facultades necesarias para representarlo en la Subasta.</w:t>
      </w:r>
    </w:p>
    <w:p w14:paraId="33923087" w14:textId="77777777" w:rsidR="00160338" w:rsidRPr="0065554C" w:rsidRDefault="00160338" w:rsidP="00E42757">
      <w:pPr>
        <w:pStyle w:val="Subinciso"/>
      </w:pPr>
      <w:r w:rsidRPr="0065554C">
        <w:t xml:space="preserve">Que el </w:t>
      </w:r>
      <w:r w:rsidR="00903C2A" w:rsidRPr="0065554C">
        <w:t xml:space="preserve">Licitante </w:t>
      </w:r>
      <w:r w:rsidRPr="0065554C">
        <w:t xml:space="preserve">cuenta con la capacidad financiera necesaria para llevar a cabo el proyecto asociado a la Oferta de Venta que desea presentar en la Subasta. </w:t>
      </w:r>
    </w:p>
    <w:p w14:paraId="0A5C7646" w14:textId="77777777" w:rsidR="00160338" w:rsidRPr="0065554C" w:rsidRDefault="00160338" w:rsidP="00E42757">
      <w:pPr>
        <w:pStyle w:val="Subinciso"/>
      </w:pPr>
      <w:r w:rsidRPr="0065554C">
        <w:t xml:space="preserve">Que la Garantía de Seriedad correspondiente a </w:t>
      </w:r>
      <w:r w:rsidR="00861BE2" w:rsidRPr="0065554C">
        <w:t xml:space="preserve">la o las </w:t>
      </w:r>
      <w:r w:rsidRPr="0065554C">
        <w:t>Oferta</w:t>
      </w:r>
      <w:r w:rsidR="00861BE2" w:rsidRPr="0065554C">
        <w:t>s</w:t>
      </w:r>
      <w:r w:rsidRPr="0065554C">
        <w:t xml:space="preserve"> de Venta ha sido debidamente presentada.</w:t>
      </w:r>
    </w:p>
    <w:p w14:paraId="18321CFF" w14:textId="77777777" w:rsidR="00160338" w:rsidRPr="0065554C" w:rsidRDefault="00160338" w:rsidP="00E42757">
      <w:pPr>
        <w:pStyle w:val="Subinciso"/>
      </w:pPr>
      <w:r w:rsidRPr="0065554C">
        <w:lastRenderedPageBreak/>
        <w:t xml:space="preserve">Que la Zona de Potencia, Zona de Exportación, Zona de Precios y Zona de Interconexión identificadas en la Oferta de Venta que desea presentar el </w:t>
      </w:r>
      <w:r w:rsidR="00903C2A" w:rsidRPr="0065554C">
        <w:t>Licitante</w:t>
      </w:r>
      <w:r w:rsidRPr="0065554C">
        <w:t xml:space="preserve"> corresponden al punto de interconexión de la o las Centrales Eléctricas con las que se pretende honrar esa Oferta de Venta.</w:t>
      </w:r>
    </w:p>
    <w:p w14:paraId="558F13A4" w14:textId="77777777" w:rsidR="00160338" w:rsidRPr="0065554C" w:rsidRDefault="00160338" w:rsidP="00E42757">
      <w:pPr>
        <w:pStyle w:val="Subinciso"/>
      </w:pPr>
      <w:r w:rsidRPr="0065554C">
        <w:t>Que la o las Centrales Eléctricas con las que se pretende honrar la Oferta de Venta cuentan o contarán con el factor de planta y la Capacidad Instalada en MW</w:t>
      </w:r>
      <w:r w:rsidRPr="0065554C">
        <w:rPr>
          <w:b/>
          <w:vertAlign w:val="subscript"/>
        </w:rPr>
        <w:t>ac</w:t>
      </w:r>
      <w:r w:rsidRPr="0065554C">
        <w:t>, definida en la Base 2.1.9 de las Bases del Mercado Eléctrico, requeridos para producir los Productos ofrecidos. Para tal efecto, se considerarán los promedios anuales esperados del factor de planta y la Capacidad Instalada en corriente alterna (MW</w:t>
      </w:r>
      <w:r w:rsidRPr="0065554C">
        <w:rPr>
          <w:b/>
          <w:vertAlign w:val="subscript"/>
        </w:rPr>
        <w:t>ac</w:t>
      </w:r>
      <w:r w:rsidRPr="0065554C">
        <w:t>) durante la vida del Contrato de Cobertura Eléctrica respectivo, tomando en cuenta las degradaciones que las Centrales Eléctricas pueden sufrir.</w:t>
      </w:r>
    </w:p>
    <w:p w14:paraId="6CF14C79" w14:textId="77777777" w:rsidR="00160338" w:rsidRPr="0065554C" w:rsidRDefault="00160338" w:rsidP="00E42757">
      <w:pPr>
        <w:pStyle w:val="Subinciso"/>
      </w:pPr>
      <w:r w:rsidRPr="0065554C">
        <w:t>Que la o las Centrales Eléctricas con las que se pretende honrar la Oferta de Venta por lo que se refiere a Potencia tienen cuando menos quince años de vida útil remanente</w:t>
      </w:r>
      <w:r w:rsidR="00AE46AD" w:rsidRPr="0065554C">
        <w:t xml:space="preserve"> </w:t>
      </w:r>
      <w:r w:rsidRPr="0065554C">
        <w:t xml:space="preserve">contados a partir de la Fecha de Operación Comercial ofertada, </w:t>
      </w:r>
      <w:r w:rsidR="00AE46AD" w:rsidRPr="0065554C">
        <w:t>lo cual se podrá demostrar acreditando que esas Centrales Eléctricas aún no han entrado en operación comercial o que lo hicieron dentro de los 5 años anteriores a la Fecha de Operación Comercial Ofertada</w:t>
      </w:r>
      <w:r w:rsidR="000346D6" w:rsidRPr="0065554C">
        <w:t>,</w:t>
      </w:r>
      <w:r w:rsidR="00AE46AD" w:rsidRPr="0065554C">
        <w:t xml:space="preserve"> cumpliendo </w:t>
      </w:r>
      <w:r w:rsidRPr="0065554C">
        <w:t>los términos establecidos en el Manual de Subastas de Largo Plazo</w:t>
      </w:r>
      <w:r w:rsidR="000B1AFE" w:rsidRPr="0065554C">
        <w:t xml:space="preserve"> y los requisitos establecidos en el </w:t>
      </w:r>
      <w:r w:rsidR="000B1AFE" w:rsidRPr="0065554C">
        <w:rPr>
          <w:b/>
        </w:rPr>
        <w:t>Anexo V.10</w:t>
      </w:r>
      <w:r w:rsidRPr="0065554C">
        <w:t>.</w:t>
      </w:r>
    </w:p>
    <w:p w14:paraId="000FAC41" w14:textId="21B3926B" w:rsidR="00153000" w:rsidRPr="0065554C" w:rsidRDefault="00160338" w:rsidP="00297DA0">
      <w:pPr>
        <w:pStyle w:val="Subinciso"/>
      </w:pPr>
      <w:r w:rsidRPr="0065554C">
        <w:t>Que el perito acredite contar con un título en ingeniería eléctrica, ingeniería mecánica-</w:t>
      </w:r>
      <w:r w:rsidR="00C80D3E" w:rsidRPr="0065554C">
        <w:t>eléctrico</w:t>
      </w:r>
      <w:r w:rsidRPr="0065554C">
        <w:t>, ingeniería en energía, ingeniería en energía renovable, ingenierías con especialidad en el sector eléctrico. De manera adicional</w:t>
      </w:r>
      <w:r w:rsidR="00FB1622" w:rsidRPr="0065554C">
        <w:t>,</w:t>
      </w:r>
      <w:r w:rsidRPr="0065554C">
        <w:t xml:space="preserve"> deberá presentar la información correspondiente para acreditar la experiencia mínima de 5 años referente a la elaboración de reportes periciales para centrales eléctricas, ser proyectista o líder en construcción de Centrales Eléctricas que utilizan la misma fuente de energía primaria</w:t>
      </w:r>
      <w:r w:rsidR="00612458">
        <w:t xml:space="preserve"> o secundaria</w:t>
      </w:r>
      <w:r w:rsidR="007970C4" w:rsidRPr="0065554C">
        <w:t>.</w:t>
      </w:r>
    </w:p>
    <w:p w14:paraId="744FFB79" w14:textId="77777777" w:rsidR="00160338" w:rsidRPr="0065554C" w:rsidRDefault="00160338" w:rsidP="00E42757">
      <w:pPr>
        <w:pStyle w:val="Subinciso"/>
      </w:pPr>
      <w:r w:rsidRPr="0065554C">
        <w:t>Que</w:t>
      </w:r>
      <w:r w:rsidR="00FB1622" w:rsidRPr="0065554C">
        <w:t>,</w:t>
      </w:r>
      <w:r w:rsidRPr="0065554C">
        <w:t xml:space="preserve"> en caso de que el </w:t>
      </w:r>
      <w:r w:rsidR="00D3719F" w:rsidRPr="0065554C">
        <w:t>Licitante</w:t>
      </w:r>
      <w:r w:rsidRPr="0065554C">
        <w:t xml:space="preserve"> no sea propietario de la Central Eléctrica con la que pretenda honrar la Oferta de Venta, cuenta con la autorización del titular de dicha Central Eléctrica para disponer de los Productos que pretenda ofrecer a través de esa Oferta de Venta.</w:t>
      </w:r>
    </w:p>
    <w:p w14:paraId="3B6F4433" w14:textId="77777777" w:rsidR="00160338" w:rsidRPr="0065554C" w:rsidRDefault="00160338" w:rsidP="005E311D">
      <w:pPr>
        <w:pStyle w:val="Inciso"/>
      </w:pPr>
      <w:r w:rsidRPr="0065554C">
        <w:t>Que ha entregado la Garantía de Seriedad para la Oferta de Venta que desea presentar en la Subasta, en términos de lo señalado en el numeral 5.</w:t>
      </w:r>
      <w:r w:rsidR="00D3719F" w:rsidRPr="0065554C">
        <w:t>5</w:t>
      </w:r>
      <w:r w:rsidRPr="0065554C">
        <w:t xml:space="preserve">. El CENACE, a más tardar al tercer día hábil siguiente a la recepción de la o las Garantías de Seriedad, las tendrá como integradas a la solicitud de precalificación de Ofertas de Venta y así lo notificará al </w:t>
      </w:r>
      <w:r w:rsidR="00B26E41" w:rsidRPr="0065554C">
        <w:t xml:space="preserve">Licitante </w:t>
      </w:r>
      <w:r w:rsidRPr="0065554C">
        <w:t>dentro de ese mismo plazo a través del Sitio</w:t>
      </w:r>
      <w:r w:rsidR="00FB1622" w:rsidRPr="0065554C">
        <w:t xml:space="preserve"> y</w:t>
      </w:r>
      <w:r w:rsidRPr="0065554C">
        <w:t xml:space="preserve"> mediante correo electrónico.</w:t>
      </w:r>
    </w:p>
    <w:p w14:paraId="369827BA" w14:textId="77777777" w:rsidR="00160338" w:rsidRPr="0065554C" w:rsidRDefault="00160338" w:rsidP="005E311D">
      <w:pPr>
        <w:pStyle w:val="Inciso"/>
      </w:pPr>
      <w:r w:rsidRPr="0065554C">
        <w:lastRenderedPageBreak/>
        <w:t xml:space="preserve">Que ha ingresado a través del Sitio la solicitud de precalificación </w:t>
      </w:r>
      <w:r w:rsidR="00FB1622" w:rsidRPr="0065554C">
        <w:t xml:space="preserve">correspondiente a la </w:t>
      </w:r>
      <w:r w:rsidRPr="0065554C">
        <w:t xml:space="preserve">Oferta de Venta y ha señalado cuáles son las características de los Productos que serán ofertados </w:t>
      </w:r>
      <w:r w:rsidR="00FB1622" w:rsidRPr="0065554C">
        <w:t>en</w:t>
      </w:r>
      <w:r w:rsidRPr="0065554C">
        <w:t xml:space="preserve"> esa Oferta de Venta</w:t>
      </w:r>
      <w:r w:rsidR="006E6A9B" w:rsidRPr="0065554C">
        <w:t xml:space="preserve">, así como presentando a través del Sitio los documentos con los que pretende acreditar su capacidad legal, </w:t>
      </w:r>
      <w:r w:rsidR="006A71AE" w:rsidRPr="0065554C">
        <w:t xml:space="preserve">financiera, </w:t>
      </w:r>
      <w:r w:rsidR="006E6A9B" w:rsidRPr="0065554C">
        <w:t>técnica y de ejecución.</w:t>
      </w:r>
    </w:p>
    <w:p w14:paraId="0638E430" w14:textId="77777777" w:rsidR="00160338" w:rsidRPr="0065554C" w:rsidRDefault="00160338" w:rsidP="005E311D">
      <w:pPr>
        <w:pStyle w:val="Numeral"/>
      </w:pPr>
      <w:r w:rsidRPr="0065554C">
        <w:t xml:space="preserve">La documentación necesaria para acreditar que el </w:t>
      </w:r>
      <w:r w:rsidR="00B26E41" w:rsidRPr="0065554C">
        <w:t>Licitante</w:t>
      </w:r>
      <w:r w:rsidR="00F57DC1" w:rsidRPr="0065554C">
        <w:t xml:space="preserve"> </w:t>
      </w:r>
      <w:r w:rsidRPr="0065554C">
        <w:t xml:space="preserve">cuenta con suficiente capacidad legal, </w:t>
      </w:r>
      <w:r w:rsidR="006A71AE" w:rsidRPr="0065554C">
        <w:t xml:space="preserve">financiera, </w:t>
      </w:r>
      <w:r w:rsidRPr="0065554C">
        <w:t xml:space="preserve">técnica y de ejecución para honrar la Oferta de Venta que presenta en la Subasta se describe en el </w:t>
      </w:r>
      <w:r w:rsidRPr="0065554C">
        <w:rPr>
          <w:b/>
        </w:rPr>
        <w:t>Anexo V.1</w:t>
      </w:r>
      <w:r w:rsidRPr="0065554C">
        <w:t xml:space="preserve">, el cual prevé los formatos que deberá utilizar el </w:t>
      </w:r>
      <w:r w:rsidR="004265B2" w:rsidRPr="0065554C">
        <w:t xml:space="preserve">Interesado </w:t>
      </w:r>
      <w:r w:rsidR="00D3719F" w:rsidRPr="0065554C">
        <w:t>para</w:t>
      </w:r>
      <w:r w:rsidRPr="0065554C">
        <w:t xml:space="preserve"> presentar la información o documentación correspondiente, como se indica a continuación:</w:t>
      </w:r>
    </w:p>
    <w:p w14:paraId="4F96C234" w14:textId="77777777" w:rsidR="00160338" w:rsidRPr="0065554C" w:rsidRDefault="00160338" w:rsidP="005E311D">
      <w:pPr>
        <w:pStyle w:val="Inciso"/>
      </w:pPr>
      <w:r w:rsidRPr="0065554C">
        <w:t xml:space="preserve">Formato para acreditar solvencia moral, contenido en el </w:t>
      </w:r>
      <w:r w:rsidRPr="0065554C">
        <w:rPr>
          <w:b/>
        </w:rPr>
        <w:t>Anexo V.2</w:t>
      </w:r>
      <w:r w:rsidRPr="0065554C">
        <w:t xml:space="preserve">. </w:t>
      </w:r>
    </w:p>
    <w:p w14:paraId="65A52AA4" w14:textId="77777777" w:rsidR="00160338" w:rsidRPr="0065554C" w:rsidRDefault="00160338" w:rsidP="005E311D">
      <w:pPr>
        <w:pStyle w:val="Inciso"/>
      </w:pPr>
      <w:r w:rsidRPr="0065554C">
        <w:t xml:space="preserve">Formato para acreditar que la Oferta de Venta es vinculante e irrevocable, contenido en el </w:t>
      </w:r>
      <w:r w:rsidRPr="0065554C">
        <w:rPr>
          <w:b/>
        </w:rPr>
        <w:t>Anexo V.3</w:t>
      </w:r>
      <w:r w:rsidRPr="0065554C">
        <w:t>.</w:t>
      </w:r>
    </w:p>
    <w:p w14:paraId="0C61C90C" w14:textId="77777777" w:rsidR="00160338" w:rsidRPr="0065554C" w:rsidRDefault="00160338" w:rsidP="005E311D">
      <w:pPr>
        <w:pStyle w:val="Inciso"/>
      </w:pPr>
      <w:r w:rsidRPr="0065554C">
        <w:t xml:space="preserve">Formato para el compromiso de suscribir o causar que se suscriba el Contrato en caso de resultar asignatario del mismo, contenido en el </w:t>
      </w:r>
      <w:r w:rsidRPr="0065554C">
        <w:rPr>
          <w:b/>
        </w:rPr>
        <w:t>Anexo V.4</w:t>
      </w:r>
      <w:r w:rsidRPr="0065554C">
        <w:t>.</w:t>
      </w:r>
    </w:p>
    <w:p w14:paraId="1E6A8151" w14:textId="77777777" w:rsidR="00160338" w:rsidRPr="0065554C" w:rsidRDefault="00160338" w:rsidP="005E311D">
      <w:pPr>
        <w:pStyle w:val="Inciso"/>
      </w:pPr>
      <w:r w:rsidRPr="0065554C">
        <w:t xml:space="preserve">Formato para la aceptación de la normatividad aplicable, contenido en el </w:t>
      </w:r>
      <w:r w:rsidRPr="0065554C">
        <w:rPr>
          <w:b/>
        </w:rPr>
        <w:t>Anexo V.5</w:t>
      </w:r>
      <w:r w:rsidRPr="0065554C">
        <w:t>.</w:t>
      </w:r>
    </w:p>
    <w:p w14:paraId="76EFBD7D" w14:textId="77777777" w:rsidR="00160338" w:rsidRPr="0065554C" w:rsidRDefault="00160338" w:rsidP="005E311D">
      <w:pPr>
        <w:pStyle w:val="Inciso"/>
      </w:pPr>
      <w:r w:rsidRPr="0065554C">
        <w:t>Formato para</w:t>
      </w:r>
      <w:r w:rsidR="00953FF1" w:rsidRPr="0065554C">
        <w:t xml:space="preserve"> la solicitud de precalificación de Ofertas de Venta,</w:t>
      </w:r>
      <w:r w:rsidRPr="0065554C">
        <w:t xml:space="preserve"> contenido en el </w:t>
      </w:r>
      <w:r w:rsidRPr="0065554C">
        <w:rPr>
          <w:b/>
        </w:rPr>
        <w:t>Anexo V.6</w:t>
      </w:r>
      <w:r w:rsidRPr="0065554C">
        <w:t xml:space="preserve">. </w:t>
      </w:r>
    </w:p>
    <w:p w14:paraId="66456609" w14:textId="77777777" w:rsidR="00160338" w:rsidRPr="0065554C" w:rsidRDefault="00160338" w:rsidP="005E311D">
      <w:pPr>
        <w:pStyle w:val="Inciso"/>
      </w:pPr>
      <w:r w:rsidRPr="0065554C">
        <w:t xml:space="preserve">Formato para acreditar que la Oferta de Venta es autónoma e independiente a las de otros Licitantes, contenido en el </w:t>
      </w:r>
      <w:r w:rsidRPr="0065554C">
        <w:rPr>
          <w:b/>
        </w:rPr>
        <w:t>Anexo V.7</w:t>
      </w:r>
      <w:r w:rsidRPr="0065554C">
        <w:t xml:space="preserve">. </w:t>
      </w:r>
    </w:p>
    <w:p w14:paraId="0F684A67" w14:textId="77777777" w:rsidR="00160338" w:rsidRPr="0065554C" w:rsidRDefault="00160338" w:rsidP="005E311D">
      <w:pPr>
        <w:pStyle w:val="Inciso"/>
      </w:pPr>
      <w:r w:rsidRPr="0065554C">
        <w:t xml:space="preserve">Formato para acreditar capacidad o experiencia financiera, contenido en el </w:t>
      </w:r>
      <w:r w:rsidRPr="0065554C">
        <w:rPr>
          <w:b/>
        </w:rPr>
        <w:t>Anexo V.8</w:t>
      </w:r>
      <w:r w:rsidR="00D54232" w:rsidRPr="0065554C">
        <w:rPr>
          <w:b/>
        </w:rPr>
        <w:t xml:space="preserve">a </w:t>
      </w:r>
      <w:r w:rsidR="00126EC6" w:rsidRPr="0065554C">
        <w:rPr>
          <w:b/>
        </w:rPr>
        <w:t>y/</w:t>
      </w:r>
      <w:r w:rsidR="00FA3163" w:rsidRPr="0065554C">
        <w:rPr>
          <w:b/>
        </w:rPr>
        <w:t>o</w:t>
      </w:r>
      <w:r w:rsidR="00D54232" w:rsidRPr="0065554C">
        <w:rPr>
          <w:b/>
        </w:rPr>
        <w:t xml:space="preserve"> Anexo V.8b</w:t>
      </w:r>
      <w:r w:rsidRPr="0065554C">
        <w:t xml:space="preserve">. </w:t>
      </w:r>
    </w:p>
    <w:p w14:paraId="2EFB10CF" w14:textId="77777777" w:rsidR="00160338" w:rsidRPr="0065554C" w:rsidRDefault="00160338" w:rsidP="005E311D">
      <w:pPr>
        <w:pStyle w:val="Inciso"/>
      </w:pPr>
      <w:r w:rsidRPr="0065554C">
        <w:t>Formato para acreditar la vinculación jurídica</w:t>
      </w:r>
      <w:r w:rsidR="00E42757" w:rsidRPr="0065554C">
        <w:t>,</w:t>
      </w:r>
      <w:r w:rsidR="00F93BDB" w:rsidRPr="0065554C">
        <w:t xml:space="preserve"> - experiencia financiera</w:t>
      </w:r>
      <w:r w:rsidRPr="0065554C">
        <w:t xml:space="preserve">, contenido en el </w:t>
      </w:r>
      <w:r w:rsidRPr="0065554C">
        <w:rPr>
          <w:b/>
        </w:rPr>
        <w:t>Anexo V.9</w:t>
      </w:r>
      <w:r w:rsidRPr="0065554C">
        <w:t>.</w:t>
      </w:r>
    </w:p>
    <w:p w14:paraId="70C0A24C" w14:textId="77777777" w:rsidR="00160338" w:rsidRPr="0065554C" w:rsidRDefault="00160338" w:rsidP="005E311D">
      <w:pPr>
        <w:pStyle w:val="Inciso"/>
      </w:pPr>
      <w:r w:rsidRPr="0065554C">
        <w:t xml:space="preserve">Formato para definir la información básica de ingeniería para la interconexión de Centrales Eléctrica, contenido en el </w:t>
      </w:r>
      <w:r w:rsidRPr="0065554C">
        <w:rPr>
          <w:b/>
        </w:rPr>
        <w:t>Anexo V.10</w:t>
      </w:r>
      <w:r w:rsidRPr="0065554C">
        <w:t>.</w:t>
      </w:r>
    </w:p>
    <w:p w14:paraId="291F3A4B" w14:textId="77777777" w:rsidR="00160338" w:rsidRPr="0065554C" w:rsidRDefault="00160338" w:rsidP="005E311D">
      <w:pPr>
        <w:pStyle w:val="Inciso"/>
      </w:pPr>
      <w:r w:rsidRPr="0065554C">
        <w:t xml:space="preserve">Formato para acreditar la autorización del propietario de la Central Eléctrica, contenido en el </w:t>
      </w:r>
      <w:r w:rsidRPr="0065554C">
        <w:rPr>
          <w:b/>
        </w:rPr>
        <w:t>Anexo V.11</w:t>
      </w:r>
      <w:r w:rsidRPr="0065554C">
        <w:t>.</w:t>
      </w:r>
    </w:p>
    <w:p w14:paraId="2E0C0C50" w14:textId="77777777" w:rsidR="00160338" w:rsidRPr="0065554C" w:rsidRDefault="00160338" w:rsidP="005E311D">
      <w:pPr>
        <w:pStyle w:val="Inciso"/>
      </w:pPr>
      <w:r w:rsidRPr="0065554C">
        <w:t xml:space="preserve">Formato para la declaración de compromisos previos, contenido en el </w:t>
      </w:r>
      <w:r w:rsidRPr="0065554C">
        <w:rPr>
          <w:b/>
        </w:rPr>
        <w:t>Anexo V.</w:t>
      </w:r>
      <w:r w:rsidR="006F64D5" w:rsidRPr="0065554C">
        <w:rPr>
          <w:b/>
        </w:rPr>
        <w:t xml:space="preserve"> </w:t>
      </w:r>
      <w:r w:rsidRPr="0065554C">
        <w:rPr>
          <w:b/>
        </w:rPr>
        <w:t>12</w:t>
      </w:r>
      <w:r w:rsidRPr="0065554C">
        <w:t>.</w:t>
      </w:r>
    </w:p>
    <w:p w14:paraId="1F413454" w14:textId="77777777" w:rsidR="00160338" w:rsidRPr="0065554C" w:rsidRDefault="00160338" w:rsidP="005E311D">
      <w:pPr>
        <w:pStyle w:val="Inciso"/>
      </w:pPr>
      <w:r w:rsidRPr="0065554C">
        <w:t xml:space="preserve">Formato para la declaración de no compromisos previos, contenido en el </w:t>
      </w:r>
      <w:r w:rsidRPr="0065554C">
        <w:rPr>
          <w:b/>
        </w:rPr>
        <w:t>Anexo V.</w:t>
      </w:r>
      <w:r w:rsidR="006F64D5" w:rsidRPr="0065554C">
        <w:rPr>
          <w:b/>
        </w:rPr>
        <w:t xml:space="preserve"> </w:t>
      </w:r>
      <w:r w:rsidRPr="0065554C">
        <w:rPr>
          <w:b/>
        </w:rPr>
        <w:t>13</w:t>
      </w:r>
      <w:r w:rsidRPr="0065554C">
        <w:t>.</w:t>
      </w:r>
    </w:p>
    <w:p w14:paraId="23813722" w14:textId="77777777" w:rsidR="00160338" w:rsidRPr="0065554C" w:rsidRDefault="00160338" w:rsidP="005E311D">
      <w:pPr>
        <w:pStyle w:val="Inciso"/>
      </w:pPr>
      <w:r w:rsidRPr="0065554C">
        <w:t xml:space="preserve">Formato para el compromiso de ser Participante del Mercado, contenido en el </w:t>
      </w:r>
      <w:r w:rsidRPr="0065554C">
        <w:rPr>
          <w:b/>
        </w:rPr>
        <w:t>Anexo V.</w:t>
      </w:r>
      <w:r w:rsidR="006F64D5" w:rsidRPr="0065554C">
        <w:rPr>
          <w:b/>
        </w:rPr>
        <w:t xml:space="preserve"> </w:t>
      </w:r>
      <w:r w:rsidRPr="0065554C">
        <w:rPr>
          <w:b/>
        </w:rPr>
        <w:t>14</w:t>
      </w:r>
      <w:r w:rsidRPr="0065554C">
        <w:t>.</w:t>
      </w:r>
    </w:p>
    <w:p w14:paraId="2F2CEB2B" w14:textId="77777777" w:rsidR="00160338" w:rsidRPr="0065554C" w:rsidRDefault="00160338" w:rsidP="005E311D">
      <w:pPr>
        <w:pStyle w:val="Inciso"/>
      </w:pPr>
      <w:r w:rsidRPr="0065554C">
        <w:t xml:space="preserve">Formato para acreditar capacidad o experiencia técnica y de ejecución, contenido en el </w:t>
      </w:r>
      <w:r w:rsidRPr="0065554C">
        <w:rPr>
          <w:b/>
        </w:rPr>
        <w:t>Anexo V.</w:t>
      </w:r>
      <w:r w:rsidR="006F64D5" w:rsidRPr="0065554C">
        <w:rPr>
          <w:b/>
        </w:rPr>
        <w:t xml:space="preserve"> </w:t>
      </w:r>
      <w:r w:rsidRPr="0065554C">
        <w:rPr>
          <w:b/>
        </w:rPr>
        <w:t>15</w:t>
      </w:r>
      <w:r w:rsidRPr="0065554C">
        <w:t>.</w:t>
      </w:r>
    </w:p>
    <w:p w14:paraId="6946A5F6" w14:textId="77777777" w:rsidR="00160338" w:rsidRPr="0065554C" w:rsidRDefault="00160338" w:rsidP="005E311D">
      <w:pPr>
        <w:pStyle w:val="Inciso"/>
      </w:pPr>
      <w:r w:rsidRPr="0065554C">
        <w:t xml:space="preserve">Formato para acreditar la vinculación </w:t>
      </w:r>
      <w:r w:rsidR="00E73093" w:rsidRPr="0065554C">
        <w:t>jurídica,</w:t>
      </w:r>
      <w:r w:rsidR="00F93BDB" w:rsidRPr="0065554C">
        <w:t xml:space="preserve"> experiencia técnica y de ejecución</w:t>
      </w:r>
      <w:r w:rsidRPr="0065554C">
        <w:t xml:space="preserve">, contenido en el </w:t>
      </w:r>
      <w:r w:rsidRPr="0065554C">
        <w:rPr>
          <w:b/>
        </w:rPr>
        <w:t>Anexo V.</w:t>
      </w:r>
      <w:r w:rsidR="006F64D5" w:rsidRPr="0065554C">
        <w:rPr>
          <w:b/>
        </w:rPr>
        <w:t xml:space="preserve"> </w:t>
      </w:r>
      <w:r w:rsidRPr="0065554C">
        <w:rPr>
          <w:b/>
        </w:rPr>
        <w:t>16</w:t>
      </w:r>
      <w:r w:rsidRPr="0065554C">
        <w:t>.</w:t>
      </w:r>
    </w:p>
    <w:p w14:paraId="5659CA4C" w14:textId="77777777" w:rsidR="00160338" w:rsidRPr="0065554C" w:rsidRDefault="00160338" w:rsidP="005E311D">
      <w:pPr>
        <w:pStyle w:val="Inciso"/>
      </w:pPr>
      <w:r w:rsidRPr="0065554C">
        <w:lastRenderedPageBreak/>
        <w:t xml:space="preserve">Formato para obligarse a cumplir con los requerimientos técnicos para la interconexión de Centrales Eléctricas al Sistema Eléctrico Nacional, contenido en el </w:t>
      </w:r>
      <w:r w:rsidRPr="0065554C">
        <w:rPr>
          <w:b/>
        </w:rPr>
        <w:t>Anexo V.</w:t>
      </w:r>
      <w:r w:rsidR="00D871E9" w:rsidRPr="0065554C" w:rsidDel="00D871E9">
        <w:rPr>
          <w:b/>
        </w:rPr>
        <w:t xml:space="preserve"> </w:t>
      </w:r>
      <w:r w:rsidRPr="0065554C">
        <w:rPr>
          <w:b/>
        </w:rPr>
        <w:t>17</w:t>
      </w:r>
      <w:r w:rsidRPr="0065554C">
        <w:t>.</w:t>
      </w:r>
    </w:p>
    <w:p w14:paraId="4DB2B015" w14:textId="77777777" w:rsidR="00160338" w:rsidRPr="0065554C" w:rsidRDefault="00FF7109" w:rsidP="005E311D">
      <w:pPr>
        <w:pStyle w:val="Inciso"/>
      </w:pPr>
      <w:r w:rsidRPr="0065554C">
        <w:t xml:space="preserve">Formato para el compromiso irrevocable de interconexión, contenido en el </w:t>
      </w:r>
      <w:r w:rsidRPr="0065554C">
        <w:rPr>
          <w:b/>
        </w:rPr>
        <w:t>Anexo V.</w:t>
      </w:r>
      <w:r w:rsidRPr="0065554C" w:rsidDel="00D871E9">
        <w:rPr>
          <w:b/>
        </w:rPr>
        <w:t xml:space="preserve"> </w:t>
      </w:r>
      <w:r w:rsidRPr="0065554C">
        <w:rPr>
          <w:b/>
        </w:rPr>
        <w:t>18a</w:t>
      </w:r>
      <w:r w:rsidRPr="0065554C">
        <w:t xml:space="preserve"> o</w:t>
      </w:r>
      <w:r w:rsidRPr="0065554C">
        <w:rPr>
          <w:b/>
        </w:rPr>
        <w:t xml:space="preserve"> </w:t>
      </w:r>
      <w:r w:rsidR="00160338" w:rsidRPr="0065554C">
        <w:t>Formato para el compromiso irrevocable de interconexión</w:t>
      </w:r>
      <w:r w:rsidR="00CB38C6" w:rsidRPr="0065554C">
        <w:t xml:space="preserve"> observando el principio de Criterio Mínimo de Interconexión</w:t>
      </w:r>
      <w:r w:rsidR="00160338" w:rsidRPr="0065554C">
        <w:t xml:space="preserve">, contenido en el </w:t>
      </w:r>
      <w:r w:rsidR="00160338" w:rsidRPr="0065554C">
        <w:rPr>
          <w:b/>
        </w:rPr>
        <w:t>Anexo V.</w:t>
      </w:r>
      <w:r w:rsidR="00D871E9" w:rsidRPr="0065554C" w:rsidDel="00D871E9">
        <w:rPr>
          <w:b/>
        </w:rPr>
        <w:t xml:space="preserve"> </w:t>
      </w:r>
      <w:r w:rsidR="00160338" w:rsidRPr="0065554C">
        <w:rPr>
          <w:b/>
        </w:rPr>
        <w:t>18</w:t>
      </w:r>
      <w:r w:rsidRPr="0065554C">
        <w:rPr>
          <w:b/>
        </w:rPr>
        <w:t>b</w:t>
      </w:r>
      <w:r w:rsidR="00126EC6" w:rsidRPr="0065554C">
        <w:rPr>
          <w:b/>
        </w:rPr>
        <w:t xml:space="preserve"> </w:t>
      </w:r>
      <w:r w:rsidR="00126EC6" w:rsidRPr="0065554C">
        <w:t>o Formato para el compromiso irrevocable de interconexión</w:t>
      </w:r>
      <w:r w:rsidR="00CB38C6" w:rsidRPr="0065554C">
        <w:t xml:space="preserve"> observando el principio del Criterio para Garantizar la Disponibilidad de Entrega Física</w:t>
      </w:r>
      <w:r w:rsidR="00126EC6" w:rsidRPr="0065554C">
        <w:t xml:space="preserve">, contenido en el </w:t>
      </w:r>
      <w:r w:rsidR="00126EC6" w:rsidRPr="0065554C">
        <w:rPr>
          <w:b/>
        </w:rPr>
        <w:t>Anexo V.18</w:t>
      </w:r>
      <w:r w:rsidRPr="0065554C">
        <w:rPr>
          <w:b/>
        </w:rPr>
        <w:t>c</w:t>
      </w:r>
      <w:r w:rsidR="00160338" w:rsidRPr="0065554C">
        <w:t>.</w:t>
      </w:r>
      <w:r w:rsidR="00427A99" w:rsidRPr="0065554C">
        <w:t xml:space="preserve"> </w:t>
      </w:r>
    </w:p>
    <w:p w14:paraId="5B19F3BD" w14:textId="77777777" w:rsidR="00811107" w:rsidRPr="0065554C" w:rsidRDefault="00427A99" w:rsidP="008907D0">
      <w:pPr>
        <w:pStyle w:val="Inciso"/>
      </w:pPr>
      <w:r w:rsidRPr="0065554C">
        <w:t>Formato por el cual se manifiesta la aceptación de usos de medios de comunicación electrónica, contenid</w:t>
      </w:r>
      <w:r w:rsidR="000346D6" w:rsidRPr="0065554C">
        <w:t>o</w:t>
      </w:r>
      <w:r w:rsidRPr="0065554C">
        <w:t xml:space="preserve"> en el </w:t>
      </w:r>
      <w:r w:rsidRPr="0065554C">
        <w:rPr>
          <w:b/>
        </w:rPr>
        <w:t>Anexo V.19</w:t>
      </w:r>
      <w:r w:rsidRPr="0065554C">
        <w:t>.</w:t>
      </w:r>
    </w:p>
    <w:p w14:paraId="0DA878E6" w14:textId="77777777" w:rsidR="00160338" w:rsidRPr="0065554C" w:rsidRDefault="00160338" w:rsidP="005E311D">
      <w:pPr>
        <w:pStyle w:val="Numeral"/>
      </w:pPr>
      <w:r w:rsidRPr="0065554C">
        <w:t>Los documentos necesarios para acreditar la capacidad legal del</w:t>
      </w:r>
      <w:r w:rsidR="004752FA" w:rsidRPr="0065554C">
        <w:t xml:space="preserve"> Licitante</w:t>
      </w:r>
      <w:r w:rsidRPr="0065554C">
        <w:t xml:space="preserve"> se presentarán una sola vez</w:t>
      </w:r>
      <w:r w:rsidR="006A71AE" w:rsidRPr="0065554C">
        <w:t>,</w:t>
      </w:r>
      <w:r w:rsidRPr="0065554C">
        <w:t xml:space="preserve"> </w:t>
      </w:r>
      <w:r w:rsidR="004752FA" w:rsidRPr="0065554C">
        <w:t xml:space="preserve">a excepción del </w:t>
      </w:r>
      <w:r w:rsidR="004752FA" w:rsidRPr="0065554C">
        <w:rPr>
          <w:b/>
        </w:rPr>
        <w:t>Anexo V.7</w:t>
      </w:r>
      <w:r w:rsidR="006A71AE" w:rsidRPr="0065554C">
        <w:t>.</w:t>
      </w:r>
      <w:r w:rsidRPr="0065554C">
        <w:t xml:space="preserve"> </w:t>
      </w:r>
      <w:r w:rsidR="006A71AE" w:rsidRPr="0065554C">
        <w:t>A</w:t>
      </w:r>
      <w:r w:rsidRPr="0065554C">
        <w:t>quellos necesarios para acreditar las capacidades financiera</w:t>
      </w:r>
      <w:r w:rsidR="006A71AE" w:rsidRPr="0065554C">
        <w:t>,</w:t>
      </w:r>
      <w:r w:rsidRPr="0065554C">
        <w:t xml:space="preserve"> técnica y de ejecución deberán presentarse por cada Oferta de Venta, con excepción del </w:t>
      </w:r>
      <w:r w:rsidRPr="0065554C">
        <w:rPr>
          <w:b/>
        </w:rPr>
        <w:t>Anexo V.10</w:t>
      </w:r>
      <w:r w:rsidR="00FB1622" w:rsidRPr="0065554C">
        <w:t>,</w:t>
      </w:r>
      <w:r w:rsidRPr="0065554C">
        <w:t xml:space="preserve"> que deberá ser presentado por cada una de las Centrales Eléctricas que serán utilizadas para honrar la o las Ofertas de Venta</w:t>
      </w:r>
      <w:r w:rsidR="004D29A0" w:rsidRPr="0065554C">
        <w:t xml:space="preserve"> o bien</w:t>
      </w:r>
      <w:r w:rsidR="000346D6" w:rsidRPr="0065554C">
        <w:t>,</w:t>
      </w:r>
      <w:r w:rsidR="004D29A0" w:rsidRPr="0065554C">
        <w:t xml:space="preserve"> presentar dicha información conforme a lo establecido en el numeral 5.3.5(h).</w:t>
      </w:r>
    </w:p>
    <w:p w14:paraId="1332BDDD" w14:textId="77777777" w:rsidR="00160338" w:rsidRPr="0065554C" w:rsidRDefault="00160338" w:rsidP="005E311D">
      <w:pPr>
        <w:pStyle w:val="Numeral"/>
      </w:pPr>
      <w:r w:rsidRPr="0065554C">
        <w:t xml:space="preserve">El CENACE verificará que el </w:t>
      </w:r>
      <w:r w:rsidR="00903C2A" w:rsidRPr="0065554C">
        <w:t>Licitante</w:t>
      </w:r>
      <w:r w:rsidRPr="0065554C">
        <w:t xml:space="preserve"> haya cubierto los costos mencionados en los numerales 5.2.1(a) y 5.2.1(b) y, en caso de que así haya sido, procederá a evaluar la información y documentación que el </w:t>
      </w:r>
      <w:r w:rsidR="00903C2A" w:rsidRPr="0065554C">
        <w:t>Licitante</w:t>
      </w:r>
      <w:r w:rsidRPr="0065554C">
        <w:t xml:space="preserve"> haya presentado para acreditar lo previsto en el numeral 5.2.1(c), en el entendido de que el procedimiento de evaluación de la solicitud iniciará una vez que el CENACE valide que el </w:t>
      </w:r>
      <w:r w:rsidR="00903C2A" w:rsidRPr="0065554C">
        <w:t>Licitante</w:t>
      </w:r>
      <w:r w:rsidRPr="0065554C">
        <w:t xml:space="preserve"> ha cubierto dicho costo</w:t>
      </w:r>
      <w:r w:rsidR="00F57DC1" w:rsidRPr="0065554C">
        <w:t>.</w:t>
      </w:r>
      <w:r w:rsidRPr="0065554C">
        <w:t xml:space="preserve"> </w:t>
      </w:r>
    </w:p>
    <w:p w14:paraId="1CAA8481" w14:textId="77777777" w:rsidR="00160338" w:rsidRPr="0065554C" w:rsidRDefault="00160338" w:rsidP="005E311D">
      <w:pPr>
        <w:pStyle w:val="Numeral"/>
      </w:pPr>
      <w:r w:rsidRPr="0065554C">
        <w:t>Para determinar si los pagos previstos en los incisos (a) y (b) del numeral 5.2.1</w:t>
      </w:r>
      <w:r w:rsidR="00F57DC1" w:rsidRPr="0065554C">
        <w:t>,</w:t>
      </w:r>
      <w:r w:rsidRPr="0065554C">
        <w:t xml:space="preserve"> el monto de la Garantía de Seriedad, y cualquier aspecto de la capacidad legal, </w:t>
      </w:r>
      <w:r w:rsidR="00DE2E3B" w:rsidRPr="0065554C">
        <w:t xml:space="preserve">financiera, </w:t>
      </w:r>
      <w:r w:rsidRPr="0065554C">
        <w:t xml:space="preserve">técnica y de ejecución corresponden al número o volumen de las Ofertas de Venta que desee presentar el </w:t>
      </w:r>
      <w:r w:rsidR="00903C2A" w:rsidRPr="0065554C">
        <w:t>Licitante</w:t>
      </w:r>
      <w:r w:rsidRPr="0065554C">
        <w:t xml:space="preserve">, el CENACE revisará las solicitudes de precalificación de Ofertas de Venta con base en la prioridad que el </w:t>
      </w:r>
      <w:r w:rsidR="00903C2A" w:rsidRPr="0065554C">
        <w:t>Licitante</w:t>
      </w:r>
      <w:r w:rsidRPr="0065554C">
        <w:t xml:space="preserve"> indique al momento de presentar las respectivas ofertas técnicas. Para efectos de lo anterior:</w:t>
      </w:r>
    </w:p>
    <w:p w14:paraId="54AA0BB3" w14:textId="77777777" w:rsidR="00160338" w:rsidRPr="0065554C" w:rsidRDefault="00160338" w:rsidP="005E311D">
      <w:pPr>
        <w:pStyle w:val="Inciso"/>
      </w:pPr>
      <w:r w:rsidRPr="0065554C">
        <w:t xml:space="preserve">el </w:t>
      </w:r>
      <w:r w:rsidR="00903C2A" w:rsidRPr="0065554C">
        <w:t>Licitante</w:t>
      </w:r>
      <w:r w:rsidRPr="0065554C">
        <w:t xml:space="preserve"> deberá indicar, para cada una de las Ofertas de Venta que pretenda presentar en la Subasta, la prioridad que tenga con respecto a sus demás Ofertas de Venta para efectos de revisión y evaluación;</w:t>
      </w:r>
    </w:p>
    <w:p w14:paraId="1A8FACC5" w14:textId="77777777" w:rsidR="00160338" w:rsidRPr="0065554C" w:rsidRDefault="00160338" w:rsidP="005E311D">
      <w:pPr>
        <w:pStyle w:val="Inciso"/>
      </w:pPr>
      <w:r w:rsidRPr="0065554C">
        <w:t xml:space="preserve">si el </w:t>
      </w:r>
      <w:r w:rsidR="00F660A6" w:rsidRPr="0065554C">
        <w:t xml:space="preserve">Licitante </w:t>
      </w:r>
      <w:r w:rsidRPr="0065554C">
        <w:t xml:space="preserve">desea presentar Ofertas de Venta condicionadas, mutuamente excluyentes, o una combinación de Ofertas de Venta </w:t>
      </w:r>
      <w:r w:rsidR="00FB1622" w:rsidRPr="0065554C">
        <w:t xml:space="preserve">excluyentes y mutuamente </w:t>
      </w:r>
      <w:r w:rsidRPr="0065554C">
        <w:t>excluyentes</w:t>
      </w:r>
      <w:r w:rsidR="00B26E41" w:rsidRPr="0065554C">
        <w:t xml:space="preserve"> </w:t>
      </w:r>
      <w:r w:rsidRPr="0065554C">
        <w:t xml:space="preserve">condicionadas, el CENACE tomará en cuenta la combinación de Ofertas de Venta cuyos requisitos de pago, Garantía de Seriedad o capacidades acreditadas deban ser mayores; y, </w:t>
      </w:r>
    </w:p>
    <w:p w14:paraId="14E3B3C5" w14:textId="77777777" w:rsidR="00160338" w:rsidRPr="0065554C" w:rsidRDefault="00160338" w:rsidP="005E311D">
      <w:pPr>
        <w:pStyle w:val="Inciso"/>
      </w:pPr>
      <w:r w:rsidRPr="0065554C">
        <w:t>el monto de la Garantía de Seriedad se calculará en función de los Productos que se pretendan ofertar al momento de solicitar la precalificación de las Ofertas de Venta sin considerar los ajustes derivados de las posibles reducciones de capacidad de Exportación, Sub-exportación o interconexión.</w:t>
      </w:r>
    </w:p>
    <w:p w14:paraId="7E745ADD" w14:textId="77777777" w:rsidR="00160338" w:rsidRPr="0065554C" w:rsidRDefault="00160338" w:rsidP="00160338">
      <w:pPr>
        <w:pStyle w:val="Seccin"/>
      </w:pPr>
      <w:bookmarkStart w:id="301" w:name="_Toc435900721"/>
      <w:bookmarkStart w:id="302" w:name="_Toc435171751"/>
      <w:bookmarkStart w:id="303" w:name="_Toc436487869"/>
      <w:bookmarkStart w:id="304" w:name="_Toc436433773"/>
      <w:bookmarkStart w:id="305" w:name="_Toc450052187"/>
      <w:bookmarkStart w:id="306" w:name="_Toc312964157"/>
      <w:bookmarkStart w:id="307" w:name="_Toc450201429"/>
      <w:bookmarkStart w:id="308" w:name="_Toc450638592"/>
      <w:bookmarkStart w:id="309" w:name="_Toc479255733"/>
      <w:bookmarkStart w:id="310" w:name="_Toc479763781"/>
      <w:bookmarkStart w:id="311" w:name="_Toc509413021"/>
      <w:r w:rsidRPr="0065554C">
        <w:lastRenderedPageBreak/>
        <w:t xml:space="preserve">Solicitudes de </w:t>
      </w:r>
      <w:r w:rsidR="001546C6" w:rsidRPr="0065554C">
        <w:t>P</w:t>
      </w:r>
      <w:r w:rsidRPr="0065554C">
        <w:t>recalificación de Ofertas de Venta</w:t>
      </w:r>
      <w:bookmarkEnd w:id="301"/>
      <w:bookmarkEnd w:id="302"/>
      <w:bookmarkEnd w:id="303"/>
      <w:bookmarkEnd w:id="304"/>
      <w:bookmarkEnd w:id="305"/>
      <w:bookmarkEnd w:id="306"/>
      <w:bookmarkEnd w:id="307"/>
      <w:bookmarkEnd w:id="308"/>
      <w:bookmarkEnd w:id="309"/>
      <w:bookmarkEnd w:id="310"/>
      <w:bookmarkEnd w:id="311"/>
    </w:p>
    <w:p w14:paraId="50CEC95E" w14:textId="77777777" w:rsidR="00160338" w:rsidRPr="0065554C" w:rsidRDefault="00160338" w:rsidP="005E311D">
      <w:pPr>
        <w:pStyle w:val="Numeral"/>
      </w:pPr>
      <w:r w:rsidRPr="0065554C">
        <w:t xml:space="preserve">Los Interesados deberán presentar al CENACE sus solicitudes de precalificación de Ofertas de Venta dentro del plazo indicado para ello en el Calendario de la Subasta. </w:t>
      </w:r>
    </w:p>
    <w:p w14:paraId="2810095F" w14:textId="77777777" w:rsidR="00160338" w:rsidRPr="0065554C" w:rsidRDefault="00160338" w:rsidP="005E311D">
      <w:pPr>
        <w:pStyle w:val="Numeral"/>
      </w:pPr>
      <w:r w:rsidRPr="0065554C">
        <w:t xml:space="preserve">Salvo por la Garantía de Seriedad, toda la documentación relativa a las solicitudes de precalificación de Ofertas de Venta (de acuerdo con el numeral 5.2.2 y el </w:t>
      </w:r>
      <w:r w:rsidRPr="0065554C">
        <w:rPr>
          <w:b/>
        </w:rPr>
        <w:t>Anexo</w:t>
      </w:r>
      <w:r w:rsidRPr="0065554C">
        <w:t xml:space="preserve"> </w:t>
      </w:r>
      <w:r w:rsidRPr="0065554C">
        <w:rPr>
          <w:b/>
        </w:rPr>
        <w:t>V.1</w:t>
      </w:r>
      <w:r w:rsidRPr="0065554C">
        <w:t>) deberá ser presentada a través del Sitio. Sólo las Garantías de Seriedad deberán ser presentadas en forma física.</w:t>
      </w:r>
    </w:p>
    <w:p w14:paraId="0A443C69" w14:textId="77777777" w:rsidR="00160338" w:rsidRPr="0065554C" w:rsidRDefault="00160338" w:rsidP="005E311D">
      <w:pPr>
        <w:pStyle w:val="Numeral"/>
      </w:pPr>
      <w:r w:rsidRPr="0065554C">
        <w:t xml:space="preserve">Para </w:t>
      </w:r>
      <w:r w:rsidRPr="0065554C">
        <w:rPr>
          <w:rFonts w:eastAsia="Times New Roman"/>
        </w:rPr>
        <w:t>señalar</w:t>
      </w:r>
      <w:r w:rsidRPr="0065554C">
        <w:t xml:space="preserve"> el número de Ofertas de Venta para las que </w:t>
      </w:r>
      <w:r w:rsidRPr="0065554C">
        <w:rPr>
          <w:rFonts w:eastAsia="Times New Roman"/>
        </w:rPr>
        <w:t>pretende</w:t>
      </w:r>
      <w:r w:rsidRPr="0065554C">
        <w:t xml:space="preserve"> obtener la respectiva Constancia de Precalificación, el </w:t>
      </w:r>
      <w:r w:rsidR="00BC72C8" w:rsidRPr="0065554C">
        <w:t xml:space="preserve">Interesado </w:t>
      </w:r>
      <w:r w:rsidRPr="0065554C">
        <w:t xml:space="preserve">deberá utilizar el </w:t>
      </w:r>
      <w:r w:rsidRPr="0065554C">
        <w:rPr>
          <w:rFonts w:eastAsia="Times New Roman"/>
        </w:rPr>
        <w:t xml:space="preserve">formato contenido en el </w:t>
      </w:r>
      <w:r w:rsidRPr="0065554C">
        <w:rPr>
          <w:b/>
        </w:rPr>
        <w:t>Anexo</w:t>
      </w:r>
      <w:r w:rsidRPr="0065554C">
        <w:t xml:space="preserve"> </w:t>
      </w:r>
      <w:r w:rsidRPr="0065554C">
        <w:rPr>
          <w:rFonts w:eastAsia="Times New Roman"/>
          <w:b/>
        </w:rPr>
        <w:t>V.</w:t>
      </w:r>
      <w:r w:rsidR="00953FF1" w:rsidRPr="0065554C">
        <w:rPr>
          <w:rFonts w:eastAsia="Times New Roman"/>
          <w:b/>
        </w:rPr>
        <w:t>6</w:t>
      </w:r>
      <w:r w:rsidRPr="0065554C">
        <w:rPr>
          <w:rFonts w:eastAsia="Times New Roman"/>
          <w:b/>
        </w:rPr>
        <w:t xml:space="preserve"> </w:t>
      </w:r>
      <w:r w:rsidRPr="0065554C">
        <w:rPr>
          <w:rFonts w:eastAsia="Times New Roman"/>
        </w:rPr>
        <w:t>y adjuntarlo a su solicitud o solicitudes de precalificación de Ofertas de Venta</w:t>
      </w:r>
      <w:r w:rsidRPr="0065554C">
        <w:rPr>
          <w:rFonts w:eastAsia="Times New Roman"/>
          <w:b/>
        </w:rPr>
        <w:t>.</w:t>
      </w:r>
      <w:r w:rsidRPr="0065554C">
        <w:rPr>
          <w:b/>
        </w:rPr>
        <w:t xml:space="preserve"> </w:t>
      </w:r>
      <w:r w:rsidRPr="0065554C">
        <w:t xml:space="preserve"> </w:t>
      </w:r>
    </w:p>
    <w:p w14:paraId="76CE32C7" w14:textId="77777777" w:rsidR="00160338" w:rsidRPr="0065554C" w:rsidRDefault="00160338" w:rsidP="005E311D">
      <w:pPr>
        <w:pStyle w:val="Numeral"/>
      </w:pPr>
      <w:r w:rsidRPr="0065554C">
        <w:t xml:space="preserve">Para cada Oferta de Venta que desee presentar en la Subasta, el </w:t>
      </w:r>
      <w:r w:rsidR="00EE5C69" w:rsidRPr="0065554C">
        <w:t xml:space="preserve">Interesado </w:t>
      </w:r>
      <w:r w:rsidRPr="0065554C">
        <w:t>deberá señalar en el formulario electrónico contenido en el Sitio, la información de la oferta técnica prevista en el numeral 5.7.2 del Manual de Subastas de Largo Plazo, con base en lo siguiente:</w:t>
      </w:r>
    </w:p>
    <w:p w14:paraId="5F7EE3B1" w14:textId="77777777" w:rsidR="00160338" w:rsidRPr="0065554C" w:rsidRDefault="00160338" w:rsidP="005E311D">
      <w:pPr>
        <w:pStyle w:val="Inciso"/>
      </w:pPr>
      <w:r w:rsidRPr="0065554C">
        <w:t>Deberá realizar la descripción del paquete de Productos ofertado, señalando:</w:t>
      </w:r>
    </w:p>
    <w:p w14:paraId="21F1F09E" w14:textId="77777777" w:rsidR="00160338" w:rsidRPr="0065554C" w:rsidRDefault="00160338" w:rsidP="00F17064">
      <w:pPr>
        <w:pStyle w:val="Subinciso"/>
      </w:pPr>
      <w:r w:rsidRPr="0065554C">
        <w:t xml:space="preserve">la cantidad de Potencia que ofrece vender durante 15 años a partir de la Fecha de Operación Comercial Ofertada, expresada en MW por año; </w:t>
      </w:r>
    </w:p>
    <w:p w14:paraId="59A8A5C7" w14:textId="77777777" w:rsidR="00160338" w:rsidRPr="0065554C" w:rsidRDefault="00160338" w:rsidP="00F17064">
      <w:pPr>
        <w:pStyle w:val="Subinciso"/>
      </w:pPr>
      <w:r w:rsidRPr="0065554C">
        <w:t xml:space="preserve">la cantidad Energía Eléctrica Acumulable que ofrece vender durante 15 años, a partir de la Fecha de Operación Comercial Ofertada, expresada en MWh por año; y, </w:t>
      </w:r>
    </w:p>
    <w:p w14:paraId="35ECAEF7" w14:textId="77777777" w:rsidR="00160338" w:rsidRPr="0065554C" w:rsidRDefault="00160338" w:rsidP="00F17064">
      <w:pPr>
        <w:pStyle w:val="Subinciso"/>
      </w:pPr>
      <w:r w:rsidRPr="0065554C">
        <w:t xml:space="preserve">la cantidad de CEL que ofrece vender durante 20 años, a partir de la Fecha de Operación Comercial Ofertada, expresada en CEL por año. </w:t>
      </w:r>
    </w:p>
    <w:p w14:paraId="5401143E" w14:textId="77777777" w:rsidR="00160338" w:rsidRPr="0065554C" w:rsidRDefault="00160338" w:rsidP="005E311D">
      <w:pPr>
        <w:pStyle w:val="Inciso"/>
      </w:pPr>
      <w:r w:rsidRPr="0065554C">
        <w:t xml:space="preserve">La cantidad señalada deberá ser “cero” para los Productos que no formen parte del paquete de Productos que ofrecerá vender el Licitante. La cantidad de al menos uno de los Productos ofrecidos en cada Oferta de Venta deberá ser igual o mayor a los umbrales siguientes: </w:t>
      </w:r>
    </w:p>
    <w:p w14:paraId="4872788C" w14:textId="77777777" w:rsidR="00160338" w:rsidRPr="0065554C" w:rsidRDefault="00160338" w:rsidP="00F17064">
      <w:pPr>
        <w:pStyle w:val="Subinciso"/>
      </w:pPr>
      <w:r w:rsidRPr="0065554C">
        <w:t>Tratándose de Potencia: lo que resulte menor entre 10 MW y el 5% de la cantidad total de Potencia demandada en la Subasta de que se trate.</w:t>
      </w:r>
    </w:p>
    <w:p w14:paraId="6A876D85" w14:textId="77777777" w:rsidR="00160338" w:rsidRPr="0065554C" w:rsidRDefault="00160338" w:rsidP="00F17064">
      <w:pPr>
        <w:pStyle w:val="Subinciso"/>
      </w:pPr>
      <w:r w:rsidRPr="0065554C">
        <w:t>Tratándose de CEL: lo que resulte menor entre 20,000 CELs/año y 5% de la cantidad total de CEL demandada en la Subasta de que se trate.</w:t>
      </w:r>
    </w:p>
    <w:p w14:paraId="68817F46" w14:textId="77777777" w:rsidR="00160338" w:rsidRPr="0065554C" w:rsidRDefault="00160338" w:rsidP="005E311D">
      <w:pPr>
        <w:pStyle w:val="Inciso"/>
        <w:rPr>
          <w:rFonts w:eastAsia="Times New Roman"/>
        </w:rPr>
      </w:pPr>
      <w:r w:rsidRPr="0065554C">
        <w:rPr>
          <w:rFonts w:eastAsia="Times New Roman"/>
        </w:rPr>
        <w:t>Los umbrales definidos en este numeral aplican indistintamente para las Ofertas de Venta asociadas a Centrales Eléctricas nuevas y las Ofertas de Venta asociadas a Centrales Eléctricas existentes.</w:t>
      </w:r>
    </w:p>
    <w:p w14:paraId="4AFC9937" w14:textId="77777777" w:rsidR="00160338" w:rsidRPr="0065554C" w:rsidRDefault="00160338" w:rsidP="005E311D">
      <w:pPr>
        <w:pStyle w:val="Inciso"/>
      </w:pPr>
      <w:r w:rsidRPr="0065554C">
        <w:lastRenderedPageBreak/>
        <w:t xml:space="preserve">Para cada Central Eléctrica asociada a una Oferta de Venta, deberá especificar </w:t>
      </w:r>
      <w:r w:rsidR="00CE2603" w:rsidRPr="0065554C">
        <w:t>la cantidad</w:t>
      </w:r>
      <w:r w:rsidRPr="0065554C">
        <w:t xml:space="preserve"> de cada Producto proveniente de dicha central para honrar su Oferta de Venta</w:t>
      </w:r>
      <w:r w:rsidR="0061392D" w:rsidRPr="0065554C">
        <w:t xml:space="preserve"> y deberán cumplir de forma individual cada requisito aun cuando sea una sola oferta con una combinación de productos</w:t>
      </w:r>
      <w:r w:rsidRPr="0065554C">
        <w:t xml:space="preserve"> de la siguiente forma:</w:t>
      </w:r>
    </w:p>
    <w:p w14:paraId="578EA553" w14:textId="77777777" w:rsidR="00160338" w:rsidRPr="0065554C" w:rsidRDefault="00160338" w:rsidP="006077DC">
      <w:pPr>
        <w:pStyle w:val="Subinciso"/>
      </w:pPr>
      <w:r w:rsidRPr="0065554C">
        <w:rPr>
          <w:b/>
        </w:rPr>
        <w:t xml:space="preserve">Tratándose de Potencia: </w:t>
      </w:r>
      <w:r w:rsidR="00BA1DB3" w:rsidRPr="0065554C">
        <w:t xml:space="preserve">Cantidad exacta </w:t>
      </w:r>
      <w:r w:rsidR="004457EB" w:rsidRPr="0065554C">
        <w:t>(MW)</w:t>
      </w:r>
      <w:r w:rsidR="007D24A7" w:rsidRPr="0065554C">
        <w:t xml:space="preserve"> </w:t>
      </w:r>
      <w:r w:rsidR="00BA1DB3" w:rsidRPr="0065554C">
        <w:t>de la capacidad de la Central Eléctrica destinada a honrar la oferta de Potencia.</w:t>
      </w:r>
    </w:p>
    <w:p w14:paraId="166952E5" w14:textId="77777777" w:rsidR="00BA1DB3" w:rsidRPr="0065554C" w:rsidRDefault="00BA1DB3" w:rsidP="00642E0C">
      <w:pPr>
        <w:pStyle w:val="Subinciso"/>
      </w:pPr>
      <w:r w:rsidRPr="0065554C">
        <w:rPr>
          <w:b/>
        </w:rPr>
        <w:t>Tratándose de Energía Eléctrica Acumulable:</w:t>
      </w:r>
      <w:r w:rsidRPr="0065554C">
        <w:t xml:space="preserve"> Cantidad ofertada</w:t>
      </w:r>
      <w:r w:rsidR="004457EB" w:rsidRPr="0065554C">
        <w:t xml:space="preserve"> (MWHr/año)</w:t>
      </w:r>
      <w:r w:rsidRPr="0065554C">
        <w:t xml:space="preserve"> de producción de energía eléctrica acreditada como limpia con la que se honrará la oferta de Energía Eléctrica Acumulable. </w:t>
      </w:r>
    </w:p>
    <w:p w14:paraId="619DEAB0" w14:textId="77777777" w:rsidR="00BA1DB3" w:rsidRPr="0065554C" w:rsidRDefault="00BA1DB3" w:rsidP="00D42E95">
      <w:pPr>
        <w:pStyle w:val="Apartado"/>
        <w:numPr>
          <w:ilvl w:val="0"/>
          <w:numId w:val="26"/>
        </w:numPr>
        <w:ind w:left="5103"/>
      </w:pPr>
      <w:r w:rsidRPr="0065554C">
        <w:t xml:space="preserve">Esta cantidad deberá ser al menos el </w:t>
      </w:r>
      <w:r w:rsidR="009B684B" w:rsidRPr="0065554C">
        <w:t>8</w:t>
      </w:r>
      <w:r w:rsidR="00FC3B3C" w:rsidRPr="0065554C">
        <w:t>0</w:t>
      </w:r>
      <w:r w:rsidRPr="0065554C">
        <w:t>% de la producción total anual estimada de energía eléctrica acreditada como limpia.</w:t>
      </w:r>
      <w:r w:rsidRPr="0065554C" w:rsidDel="002D3F45">
        <w:t xml:space="preserve"> </w:t>
      </w:r>
      <w:r w:rsidRPr="0065554C">
        <w:t xml:space="preserve">En caso de tener compromisos previos, éstos deberán señalarse en el </w:t>
      </w:r>
      <w:r w:rsidRPr="0065554C">
        <w:rPr>
          <w:b/>
        </w:rPr>
        <w:t>Anexo V.12</w:t>
      </w:r>
      <w:r w:rsidRPr="0065554C">
        <w:t xml:space="preserve"> y la suma de dichos compromisos más la cantidad de producción </w:t>
      </w:r>
      <w:r w:rsidR="00053F70" w:rsidRPr="0065554C">
        <w:t>o</w:t>
      </w:r>
      <w:r w:rsidRPr="0065554C">
        <w:t xml:space="preserve">fertada deberá ser mayor o igual al </w:t>
      </w:r>
      <w:r w:rsidR="00FC3B3C" w:rsidRPr="0065554C">
        <w:t>8</w:t>
      </w:r>
      <w:r w:rsidRPr="0065554C">
        <w:t xml:space="preserve">0% de la producción total </w:t>
      </w:r>
      <w:r w:rsidR="00AC03D5" w:rsidRPr="0065554C">
        <w:t xml:space="preserve">anual </w:t>
      </w:r>
      <w:r w:rsidRPr="0065554C">
        <w:t>estimada de la Central</w:t>
      </w:r>
      <w:r w:rsidR="00053F70" w:rsidRPr="0065554C">
        <w:t xml:space="preserve"> Eléctrica</w:t>
      </w:r>
      <w:r w:rsidRPr="0065554C">
        <w:t xml:space="preserve">. </w:t>
      </w:r>
    </w:p>
    <w:p w14:paraId="0241576E" w14:textId="77777777" w:rsidR="00BA1DB3" w:rsidRPr="0065554C" w:rsidRDefault="00AC03D5" w:rsidP="00B47852">
      <w:pPr>
        <w:pStyle w:val="Apartado"/>
        <w:numPr>
          <w:ilvl w:val="0"/>
          <w:numId w:val="26"/>
        </w:numPr>
        <w:ind w:left="5103"/>
      </w:pPr>
      <w:r w:rsidRPr="0065554C">
        <w:t xml:space="preserve">Una oferta podrá </w:t>
      </w:r>
      <w:r w:rsidR="00B76664" w:rsidRPr="0065554C">
        <w:t>contener</w:t>
      </w:r>
      <w:r w:rsidRPr="0065554C">
        <w:t xml:space="preserve"> menos del 80% de la producción total anual estimada </w:t>
      </w:r>
      <w:r w:rsidR="009042FF" w:rsidRPr="0065554C">
        <w:t xml:space="preserve">de la Central Eléctrica con la que se honra </w:t>
      </w:r>
      <w:r w:rsidRPr="0065554C">
        <w:t xml:space="preserve">siempre y cuando </w:t>
      </w:r>
      <w:r w:rsidR="00B76664" w:rsidRPr="0065554C">
        <w:t>esté</w:t>
      </w:r>
      <w:r w:rsidRPr="0065554C">
        <w:t xml:space="preserve"> condicionada a una oferta </w:t>
      </w:r>
      <w:r w:rsidR="009042FF" w:rsidRPr="0065554C">
        <w:t xml:space="preserve">que cumpla con el criterio </w:t>
      </w:r>
      <w:r w:rsidR="00B76664" w:rsidRPr="0065554C">
        <w:t xml:space="preserve">del inciso </w:t>
      </w:r>
      <w:r w:rsidR="009042FF" w:rsidRPr="0065554C">
        <w:t>anterior y ambas sean honradas con la misma Central Eléctrica.</w:t>
      </w:r>
    </w:p>
    <w:p w14:paraId="1FC3C33F" w14:textId="77777777" w:rsidR="00254EB4" w:rsidRPr="0065554C" w:rsidRDefault="00254EB4" w:rsidP="00201666">
      <w:pPr>
        <w:pStyle w:val="Apartado"/>
        <w:ind w:left="5103"/>
      </w:pPr>
    </w:p>
    <w:p w14:paraId="342608C7" w14:textId="77777777" w:rsidR="00BA1DB3" w:rsidRPr="0065554C" w:rsidRDefault="00BA1DB3" w:rsidP="00E42757">
      <w:pPr>
        <w:pStyle w:val="Subinciso"/>
        <w:rPr>
          <w:b/>
        </w:rPr>
      </w:pPr>
      <w:r w:rsidRPr="0065554C">
        <w:rPr>
          <w:b/>
        </w:rPr>
        <w:t xml:space="preserve">Tratándose de Certificados de Energía Limpia: </w:t>
      </w:r>
      <w:r w:rsidRPr="0065554C">
        <w:t>Cantidad ofertada</w:t>
      </w:r>
      <w:r w:rsidR="004457EB" w:rsidRPr="0065554C">
        <w:t xml:space="preserve"> (CELs/año)</w:t>
      </w:r>
      <w:r w:rsidRPr="0065554C">
        <w:t xml:space="preserve"> de Certificados de Energía que acredita la Central Eléctrica, que se usarán para honrar la Oferta de Venta.</w:t>
      </w:r>
      <w:r w:rsidRPr="0065554C">
        <w:rPr>
          <w:b/>
        </w:rPr>
        <w:t xml:space="preserve"> </w:t>
      </w:r>
    </w:p>
    <w:p w14:paraId="322B9050" w14:textId="77777777" w:rsidR="00BA1DB3" w:rsidRPr="0065554C" w:rsidRDefault="00BA1DB3" w:rsidP="00D42E95">
      <w:pPr>
        <w:pStyle w:val="Apartado"/>
        <w:numPr>
          <w:ilvl w:val="0"/>
          <w:numId w:val="30"/>
        </w:numPr>
      </w:pPr>
      <w:r w:rsidRPr="0065554C">
        <w:t xml:space="preserve">Esta cantidad deberá ser al menos el </w:t>
      </w:r>
      <w:r w:rsidR="009B684B" w:rsidRPr="0065554C">
        <w:t>8</w:t>
      </w:r>
      <w:r w:rsidR="00FC3B3C" w:rsidRPr="0065554C">
        <w:t>0</w:t>
      </w:r>
      <w:r w:rsidRPr="0065554C">
        <w:t xml:space="preserve">% de la cantidad de </w:t>
      </w:r>
      <w:r w:rsidR="000765F4" w:rsidRPr="0065554C">
        <w:t xml:space="preserve">la </w:t>
      </w:r>
      <w:r w:rsidRPr="0065554C">
        <w:t xml:space="preserve">producción </w:t>
      </w:r>
      <w:r w:rsidR="000765F4" w:rsidRPr="0065554C">
        <w:t xml:space="preserve">total </w:t>
      </w:r>
      <w:r w:rsidRPr="0065554C">
        <w:t>anual estimada de Certificados de Energía Limpia acreditadas para la Central</w:t>
      </w:r>
      <w:r w:rsidR="00053F70" w:rsidRPr="0065554C">
        <w:t xml:space="preserve"> Eléctrica</w:t>
      </w:r>
      <w:r w:rsidRPr="0065554C">
        <w:t>.</w:t>
      </w:r>
      <w:r w:rsidRPr="0065554C" w:rsidDel="002D3F45">
        <w:t xml:space="preserve"> </w:t>
      </w:r>
      <w:r w:rsidRPr="0065554C">
        <w:t xml:space="preserve">En caso de tener compromisos previos, éstos deberán señalarse en el </w:t>
      </w:r>
      <w:r w:rsidRPr="0065554C">
        <w:rPr>
          <w:b/>
        </w:rPr>
        <w:t>Anexo V.12</w:t>
      </w:r>
      <w:r w:rsidRPr="0065554C">
        <w:t xml:space="preserve"> y la suma de dichos compromisos más la cantidad de producción </w:t>
      </w:r>
      <w:r w:rsidR="00053F70" w:rsidRPr="0065554C">
        <w:t>o</w:t>
      </w:r>
      <w:r w:rsidRPr="0065554C">
        <w:t xml:space="preserve">fertada deberá ser mayor o igual al </w:t>
      </w:r>
      <w:r w:rsidR="009B684B" w:rsidRPr="0065554C">
        <w:t>8</w:t>
      </w:r>
      <w:r w:rsidR="00FC3B3C" w:rsidRPr="0065554C">
        <w:t>0</w:t>
      </w:r>
      <w:r w:rsidRPr="0065554C">
        <w:t xml:space="preserve">% de la cantidad de </w:t>
      </w:r>
      <w:r w:rsidR="000765F4" w:rsidRPr="0065554C">
        <w:t xml:space="preserve">la </w:t>
      </w:r>
      <w:r w:rsidRPr="0065554C">
        <w:t xml:space="preserve">producción </w:t>
      </w:r>
      <w:r w:rsidR="000765F4" w:rsidRPr="0065554C">
        <w:t xml:space="preserve">total </w:t>
      </w:r>
      <w:r w:rsidRPr="0065554C">
        <w:t>anual estimada de Certificados de Energía Limpia de la Central</w:t>
      </w:r>
      <w:r w:rsidR="00053F70" w:rsidRPr="0065554C">
        <w:t xml:space="preserve"> Eléctrica</w:t>
      </w:r>
      <w:r w:rsidRPr="0065554C">
        <w:t>.</w:t>
      </w:r>
    </w:p>
    <w:p w14:paraId="4C4C149E" w14:textId="77777777" w:rsidR="00B76664" w:rsidRPr="0065554C" w:rsidRDefault="00B76664" w:rsidP="00B76664">
      <w:pPr>
        <w:pStyle w:val="Apartado"/>
        <w:numPr>
          <w:ilvl w:val="0"/>
          <w:numId w:val="30"/>
        </w:numPr>
      </w:pPr>
      <w:r w:rsidRPr="0065554C">
        <w:t xml:space="preserve">Una oferta podrá contener menos del 80% de la producción total anual estimada </w:t>
      </w:r>
      <w:r w:rsidR="000765F4" w:rsidRPr="0065554C">
        <w:t xml:space="preserve">de Certificados de Energía Limpia acreditadas para la Central Eléctrica </w:t>
      </w:r>
      <w:r w:rsidRPr="0065554C">
        <w:t>con la que se honra siempre y cuando esté condicionada a una oferta que cumpla con el criterio del inciso anterior y ambas sean honradas con la misma Central Eléctrica.</w:t>
      </w:r>
    </w:p>
    <w:p w14:paraId="1DBFDD26" w14:textId="77777777" w:rsidR="00BA1DB3" w:rsidRPr="0065554C" w:rsidRDefault="00BA1DB3" w:rsidP="00AC56BA">
      <w:pPr>
        <w:pStyle w:val="Apartado"/>
        <w:ind w:left="4820"/>
      </w:pPr>
      <w:r w:rsidRPr="0065554C">
        <w:lastRenderedPageBreak/>
        <w:t xml:space="preserve"> </w:t>
      </w:r>
    </w:p>
    <w:p w14:paraId="6493B5EC" w14:textId="77777777" w:rsidR="0069789A" w:rsidRPr="0065554C" w:rsidRDefault="0069789A" w:rsidP="005E311D">
      <w:pPr>
        <w:pStyle w:val="Subinciso"/>
      </w:pPr>
      <w:r w:rsidRPr="0065554C">
        <w:t>En ambos productos Energía Eléctrica Acumulable y Certificados de Energías Limpias se deberá dar cumplimiento a la cantidad mínima a ofertar en las modalidades descritas en los numeral</w:t>
      </w:r>
      <w:r w:rsidR="00F00CA4" w:rsidRPr="0065554C">
        <w:t>es</w:t>
      </w:r>
      <w:r w:rsidRPr="0065554C">
        <w:t xml:space="preserve"> 5.3.4 inciso (d) subinciso (ii) y (ii</w:t>
      </w:r>
      <w:r w:rsidR="00201666" w:rsidRPr="0065554C">
        <w:t>i</w:t>
      </w:r>
      <w:r w:rsidRPr="0065554C">
        <w:t>) respectivamente.</w:t>
      </w:r>
    </w:p>
    <w:p w14:paraId="11B704A4" w14:textId="77777777" w:rsidR="0069789A" w:rsidRPr="0065554C" w:rsidRDefault="0069789A" w:rsidP="005E311D">
      <w:pPr>
        <w:pStyle w:val="Subinciso"/>
      </w:pPr>
      <w:r w:rsidRPr="0065554C">
        <w:t xml:space="preserve">La cantidad total de producción anual estimada de Energía Eléctrica Acumulable y la cantidad total de producción anual estimada de Certificados de Energías Limpias </w:t>
      </w:r>
      <w:r w:rsidR="00642E0C" w:rsidRPr="0065554C">
        <w:t>de una Central Eléctrica deberán ser idénticos</w:t>
      </w:r>
      <w:r w:rsidR="00C96B16" w:rsidRPr="0065554C">
        <w:t xml:space="preserve"> y sin decimales</w:t>
      </w:r>
      <w:r w:rsidR="00642E0C" w:rsidRPr="0065554C">
        <w:t>.</w:t>
      </w:r>
    </w:p>
    <w:p w14:paraId="3539BC41" w14:textId="77777777" w:rsidR="00160338" w:rsidRPr="0065554C" w:rsidRDefault="00160338" w:rsidP="005E311D">
      <w:pPr>
        <w:pStyle w:val="Subinciso"/>
      </w:pPr>
      <w:r w:rsidRPr="0065554C">
        <w:t>La Centrales Eléctricas que no se clasifiquen como limpias según el Artículo 3 fracción XXII de la Ley de Industria Eléctrica sólo podrán ofertar Potencia.</w:t>
      </w:r>
    </w:p>
    <w:p w14:paraId="02F7D7B1" w14:textId="77777777" w:rsidR="00160338" w:rsidRPr="0065554C" w:rsidRDefault="00160338" w:rsidP="005E311D">
      <w:pPr>
        <w:pStyle w:val="Subinciso"/>
      </w:pPr>
      <w:r w:rsidRPr="0065554C">
        <w:t>Para el caso de Energía Eléctrica Acumulable y Certificados de Energía Limpia,</w:t>
      </w:r>
      <w:r w:rsidR="00F67780" w:rsidRPr="0065554C">
        <w:t xml:space="preserve"> que las Zonas de Exportación y los límites de Interconexión donde haya presentado su oferta de venta se reduzcan y se vea afectada la Oferta de Venta,</w:t>
      </w:r>
      <w:r w:rsidRPr="0065554C">
        <w:t xml:space="preserve"> el CENACE </w:t>
      </w:r>
      <w:r w:rsidR="008D5E4D" w:rsidRPr="0065554C">
        <w:t xml:space="preserve">notificará al Licitante para que </w:t>
      </w:r>
      <w:r w:rsidR="007553CF" w:rsidRPr="0065554C">
        <w:t>pueda reducir</w:t>
      </w:r>
      <w:r w:rsidR="008D5E4D" w:rsidRPr="0065554C">
        <w:t xml:space="preserve"> </w:t>
      </w:r>
      <w:r w:rsidR="00382409" w:rsidRPr="0065554C">
        <w:t>la capacidad de la(s) central(es) eléctrica(s) y los productos asociados a esta(s) central(es)</w:t>
      </w:r>
      <w:r w:rsidR="000346D6" w:rsidRPr="0065554C">
        <w:t>,</w:t>
      </w:r>
      <w:r w:rsidR="00382409" w:rsidRPr="0065554C">
        <w:t xml:space="preserve"> </w:t>
      </w:r>
      <w:r w:rsidR="007553CF" w:rsidRPr="0065554C">
        <w:t xml:space="preserve">en todo momento </w:t>
      </w:r>
      <w:r w:rsidR="009D5EBB" w:rsidRPr="0065554C">
        <w:t xml:space="preserve"> </w:t>
      </w:r>
      <w:r w:rsidR="007553CF" w:rsidRPr="0065554C">
        <w:t xml:space="preserve">la Oferta de Venta deberá </w:t>
      </w:r>
      <w:r w:rsidR="009D5EBB" w:rsidRPr="0065554C">
        <w:t>cumpl</w:t>
      </w:r>
      <w:r w:rsidR="007553CF" w:rsidRPr="0065554C">
        <w:t>ir</w:t>
      </w:r>
      <w:r w:rsidR="009D5EBB" w:rsidRPr="0065554C">
        <w:t xml:space="preserve"> con lo establecid</w:t>
      </w:r>
      <w:r w:rsidR="00382409" w:rsidRPr="0065554C">
        <w:t xml:space="preserve">o </w:t>
      </w:r>
      <w:r w:rsidR="007553CF" w:rsidRPr="0065554C">
        <w:t xml:space="preserve">en </w:t>
      </w:r>
      <w:r w:rsidR="009317D3" w:rsidRPr="0065554C">
        <w:t>el numeral 5.3.4</w:t>
      </w:r>
      <w:r w:rsidR="003A5C89" w:rsidRPr="0065554C">
        <w:t>.</w:t>
      </w:r>
      <w:r w:rsidR="00382409" w:rsidRPr="0065554C">
        <w:t xml:space="preserve"> </w:t>
      </w:r>
    </w:p>
    <w:p w14:paraId="791A5F1D" w14:textId="77777777" w:rsidR="00A71D5E" w:rsidRPr="0065554C" w:rsidRDefault="00A71D5E" w:rsidP="00A71D5E">
      <w:pPr>
        <w:pStyle w:val="Subinciso"/>
      </w:pPr>
      <w:r w:rsidRPr="0065554C">
        <w:t>Las Centrales Eléctricas que estén asociadas a Ofertas de Venta y que hayan iniciado el pr</w:t>
      </w:r>
      <w:r w:rsidR="00BF6698" w:rsidRPr="0065554C">
        <w:t>oceso de interconexión antes del 09</w:t>
      </w:r>
      <w:r w:rsidRPr="0065554C">
        <w:t xml:space="preserve"> de febrero de 2018</w:t>
      </w:r>
      <w:r w:rsidR="00BF6698" w:rsidRPr="0065554C">
        <w:t xml:space="preserve"> y que no hayan vencido los plazos establecidos en </w:t>
      </w:r>
      <w:r w:rsidR="001D39C4" w:rsidRPr="0065554C">
        <w:t xml:space="preserve">los </w:t>
      </w:r>
      <w:r w:rsidR="001D39C4" w:rsidRPr="0065554C">
        <w:rPr>
          <w:i/>
        </w:rPr>
        <w:t>CRITERIOS</w:t>
      </w:r>
      <w:r w:rsidR="001D39C4" w:rsidRPr="0065554C">
        <w:t xml:space="preserve"> mediante los que se establecen las características específicas de la infraestructura requerida para la interconexión de centrales eléctricas y conexión de centros de carga publicados en el Diario Oficial de la Federación el 2 de junio de 2015</w:t>
      </w:r>
      <w:r w:rsidRPr="0065554C">
        <w:t xml:space="preserve">, deberán </w:t>
      </w:r>
      <w:r w:rsidR="001D39C4" w:rsidRPr="0065554C">
        <w:t>continuar con</w:t>
      </w:r>
      <w:r w:rsidRPr="0065554C">
        <w:t xml:space="preserve"> sus estudios de interconexión </w:t>
      </w:r>
      <w:r w:rsidR="001D39C4" w:rsidRPr="0065554C">
        <w:t>ininterrumpidamente</w:t>
      </w:r>
      <w:r w:rsidR="000C10BB" w:rsidRPr="0065554C">
        <w:t xml:space="preserve">, y presentar el </w:t>
      </w:r>
      <w:r w:rsidR="000C10BB" w:rsidRPr="0065554C">
        <w:rPr>
          <w:b/>
        </w:rPr>
        <w:t>Anexo V.18</w:t>
      </w:r>
      <w:r w:rsidR="001D39C4" w:rsidRPr="0065554C">
        <w:rPr>
          <w:b/>
        </w:rPr>
        <w:t>a</w:t>
      </w:r>
      <w:r w:rsidR="001D39C4" w:rsidRPr="0065554C">
        <w:t xml:space="preserve"> para la Oferta de Venta vinculada a las Centrales Eléctricas bajo este supuesto</w:t>
      </w:r>
      <w:r w:rsidRPr="0065554C">
        <w:t>.</w:t>
      </w:r>
    </w:p>
    <w:p w14:paraId="03BFD620" w14:textId="77777777" w:rsidR="00A71D5E" w:rsidRPr="0065554C" w:rsidRDefault="00A71D5E" w:rsidP="00A71D5E">
      <w:pPr>
        <w:pStyle w:val="Subinciso"/>
      </w:pPr>
      <w:r w:rsidRPr="0065554C">
        <w:t xml:space="preserve">Las Centrales Eléctricas que estén asociadas a Ofertas de Venta que incluyan como producto </w:t>
      </w:r>
      <w:r w:rsidR="001D39C4" w:rsidRPr="0065554C">
        <w:t>Energía Eléctrica Acumulable</w:t>
      </w:r>
      <w:r w:rsidRPr="0065554C">
        <w:t xml:space="preserve"> </w:t>
      </w:r>
      <w:r w:rsidR="001D39C4" w:rsidRPr="0065554C">
        <w:t xml:space="preserve">y/o Certificados de Energías Limpias </w:t>
      </w:r>
      <w:r w:rsidRPr="0065554C">
        <w:t>y que hayan iniciado el proceso de interconexión posterior 08 de febrero de 2018, deberán de solicitar sus estudios de interconexión</w:t>
      </w:r>
      <w:r w:rsidR="001D39C4" w:rsidRPr="0065554C">
        <w:t xml:space="preserve"> bajo el criterio </w:t>
      </w:r>
      <w:r w:rsidR="009C0066" w:rsidRPr="0065554C">
        <w:t>mínimo</w:t>
      </w:r>
      <w:r w:rsidR="001D39C4" w:rsidRPr="0065554C">
        <w:t xml:space="preserve"> de interconexión y presentar el </w:t>
      </w:r>
      <w:r w:rsidR="001D39C4" w:rsidRPr="0065554C">
        <w:rPr>
          <w:b/>
        </w:rPr>
        <w:t>Anexo V.18b</w:t>
      </w:r>
      <w:r w:rsidR="001D39C4" w:rsidRPr="0065554C">
        <w:t xml:space="preserve">, o bien </w:t>
      </w:r>
      <w:r w:rsidR="009C0066" w:rsidRPr="0065554C">
        <w:t xml:space="preserve">solicitar sus estudios de interconexión </w:t>
      </w:r>
      <w:r w:rsidRPr="0065554C">
        <w:t xml:space="preserve">bajo el criterio para garantizar la disponibilidad de entrega física, y presentar el </w:t>
      </w:r>
      <w:r w:rsidRPr="0065554C">
        <w:rPr>
          <w:b/>
        </w:rPr>
        <w:t>Anexo V.18c.</w:t>
      </w:r>
    </w:p>
    <w:p w14:paraId="7186341B" w14:textId="77777777" w:rsidR="009317D3" w:rsidRPr="0065554C" w:rsidRDefault="009317D3" w:rsidP="005E311D">
      <w:pPr>
        <w:pStyle w:val="Subinciso"/>
      </w:pPr>
      <w:r w:rsidRPr="0065554C">
        <w:t>Las Centrales Eléctricas que estén asociadas a Ofertas de Venta que incluyan como producto Potencia</w:t>
      </w:r>
      <w:r w:rsidR="00EE4471" w:rsidRPr="0065554C">
        <w:t xml:space="preserve"> y que hayan iniciado el proceso de interconexión posterior</w:t>
      </w:r>
      <w:r w:rsidR="003A5C89" w:rsidRPr="0065554C">
        <w:t xml:space="preserve"> al</w:t>
      </w:r>
      <w:r w:rsidR="00EE4471" w:rsidRPr="0065554C">
        <w:t xml:space="preserve"> </w:t>
      </w:r>
      <w:r w:rsidR="00507E2B" w:rsidRPr="0065554C">
        <w:t>08 de febrero de 2018</w:t>
      </w:r>
      <w:r w:rsidRPr="0065554C">
        <w:t xml:space="preserve">, deberán de solicitar sus estudios de interconexión bajo el criterio </w:t>
      </w:r>
      <w:r w:rsidRPr="0065554C">
        <w:lastRenderedPageBreak/>
        <w:t xml:space="preserve">para garantizar la disponibilidad de entrega </w:t>
      </w:r>
      <w:r w:rsidR="005B2457" w:rsidRPr="0065554C">
        <w:t>física, y</w:t>
      </w:r>
      <w:r w:rsidRPr="0065554C">
        <w:t xml:space="preserve"> presentar el </w:t>
      </w:r>
      <w:r w:rsidRPr="0065554C">
        <w:rPr>
          <w:b/>
        </w:rPr>
        <w:t>Anexo V.18</w:t>
      </w:r>
      <w:r w:rsidR="00FF7109" w:rsidRPr="0065554C">
        <w:rPr>
          <w:b/>
        </w:rPr>
        <w:t>c</w:t>
      </w:r>
      <w:r w:rsidR="005B2457" w:rsidRPr="0065554C">
        <w:rPr>
          <w:b/>
        </w:rPr>
        <w:t>.</w:t>
      </w:r>
    </w:p>
    <w:p w14:paraId="4489EFA3" w14:textId="77777777" w:rsidR="007B5B33" w:rsidRPr="0065554C" w:rsidRDefault="00160338" w:rsidP="005E311D">
      <w:pPr>
        <w:pStyle w:val="Inciso"/>
      </w:pPr>
      <w:r w:rsidRPr="0065554C">
        <w:t xml:space="preserve">Una vez ingresada la información en el formulario electrónico y la documentación correspondiente, el Sitio permitirá al </w:t>
      </w:r>
      <w:r w:rsidR="00AC56BA" w:rsidRPr="0065554C">
        <w:t xml:space="preserve">Interesado </w:t>
      </w:r>
      <w:r w:rsidRPr="0065554C">
        <w:t>generar un</w:t>
      </w:r>
      <w:r w:rsidR="00BA1DB3" w:rsidRPr="0065554C">
        <w:t xml:space="preserve"> acuse</w:t>
      </w:r>
      <w:r w:rsidRPr="0065554C">
        <w:t xml:space="preserve"> con la relación de las ofertas técnicas ingresadas, la cual deberá imprimir, firmar, escanear y adjuntar electrónicamente a su solicitud o solicitudes de precalificación de Ofertas de Venta que presente a través del Sitio.</w:t>
      </w:r>
    </w:p>
    <w:p w14:paraId="7ABB158E" w14:textId="77777777" w:rsidR="00080890" w:rsidRPr="0065554C" w:rsidRDefault="00080890" w:rsidP="00080890">
      <w:pPr>
        <w:pStyle w:val="Inciso"/>
      </w:pPr>
      <w:r w:rsidRPr="0065554C">
        <w:t xml:space="preserve">En caso de tratarse de </w:t>
      </w:r>
      <w:r w:rsidR="008C000A" w:rsidRPr="0065554C">
        <w:t>O</w:t>
      </w:r>
      <w:r w:rsidRPr="0065554C">
        <w:t>fertas</w:t>
      </w:r>
      <w:r w:rsidR="008C000A" w:rsidRPr="0065554C">
        <w:t xml:space="preserve"> de Venta</w:t>
      </w:r>
      <w:r w:rsidRPr="0065554C">
        <w:t xml:space="preserve"> condicionadas</w:t>
      </w:r>
      <w:r w:rsidR="008C000A" w:rsidRPr="0065554C">
        <w:t xml:space="preserve"> asociadas a una misma Central Eléctrica</w:t>
      </w:r>
      <w:r w:rsidRPr="0065554C">
        <w:t xml:space="preserve">, sólo se aceptarán </w:t>
      </w:r>
      <w:r w:rsidR="008C000A" w:rsidRPr="0065554C">
        <w:t xml:space="preserve">si estas mantienen </w:t>
      </w:r>
      <w:r w:rsidRPr="0065554C">
        <w:t>proporcionalidad entre sus productos, independientemente de las cantidades ofertadas. De esta manera, cuando existan ofertas condicionadas, la razón entre la cantidad de CELs y la cantidad de productos ofertados deberá ser constante.</w:t>
      </w:r>
    </w:p>
    <w:p w14:paraId="7636E484" w14:textId="77777777" w:rsidR="008E1403" w:rsidRPr="0065554C" w:rsidRDefault="008E1403" w:rsidP="008E1403">
      <w:pPr>
        <w:pStyle w:val="Subinciso"/>
        <w:numPr>
          <w:ilvl w:val="0"/>
          <w:numId w:val="0"/>
        </w:numPr>
      </w:pPr>
    </w:p>
    <w:p w14:paraId="32E98694" w14:textId="77777777" w:rsidR="001546C6" w:rsidRPr="0065554C" w:rsidRDefault="001546C6" w:rsidP="008E1403">
      <w:pPr>
        <w:pStyle w:val="Subinciso"/>
        <w:numPr>
          <w:ilvl w:val="0"/>
          <w:numId w:val="0"/>
        </w:numPr>
      </w:pPr>
    </w:p>
    <w:p w14:paraId="43DCA186" w14:textId="77777777" w:rsidR="001546C6" w:rsidRPr="0065554C" w:rsidRDefault="001546C6" w:rsidP="008E1403">
      <w:pPr>
        <w:pStyle w:val="Subinciso"/>
        <w:numPr>
          <w:ilvl w:val="0"/>
          <w:numId w:val="0"/>
        </w:numPr>
      </w:pPr>
    </w:p>
    <w:tbl>
      <w:tblPr>
        <w:tblpPr w:leftFromText="141" w:rightFromText="141" w:vertAnchor="page" w:horzAnchor="margin" w:tblpY="1892"/>
        <w:tblW w:w="10065" w:type="dxa"/>
        <w:tblLook w:val="04A0" w:firstRow="1" w:lastRow="0" w:firstColumn="1" w:lastColumn="0" w:noHBand="0" w:noVBand="1"/>
      </w:tblPr>
      <w:tblGrid>
        <w:gridCol w:w="10065"/>
      </w:tblGrid>
      <w:tr w:rsidR="0065554C" w:rsidRPr="0065554C" w14:paraId="499E1FDE" w14:textId="77777777" w:rsidTr="000F4FEA">
        <w:tc>
          <w:tcPr>
            <w:tcW w:w="10065" w:type="dxa"/>
            <w:shd w:val="clear" w:color="auto" w:fill="DDD9C3"/>
          </w:tcPr>
          <w:p w14:paraId="022D6FA5" w14:textId="77777777" w:rsidR="00D14309" w:rsidRPr="0065554C" w:rsidRDefault="00D14309" w:rsidP="00784A20">
            <w:pPr>
              <w:pStyle w:val="Ejemplo"/>
              <w:jc w:val="both"/>
            </w:pPr>
            <w:r w:rsidRPr="0065554C">
              <w:lastRenderedPageBreak/>
              <w:t xml:space="preserve">Ejemplos Ofertas </w:t>
            </w:r>
            <w:r w:rsidR="0026319E" w:rsidRPr="0065554C">
              <w:t xml:space="preserve">de Venta </w:t>
            </w:r>
            <w:r w:rsidRPr="0065554C">
              <w:t>condicionadas:</w:t>
            </w:r>
          </w:p>
          <w:p w14:paraId="2420B7E1" w14:textId="77777777" w:rsidR="00D14309" w:rsidRPr="0065554C" w:rsidRDefault="00D14309" w:rsidP="00784A20">
            <w:pPr>
              <w:pStyle w:val="EjeNumer1er"/>
              <w:numPr>
                <w:ilvl w:val="0"/>
                <w:numId w:val="0"/>
              </w:numPr>
              <w:ind w:left="720" w:hanging="360"/>
            </w:pPr>
            <w:r w:rsidRPr="0065554C">
              <w:t xml:space="preserve"> </w:t>
            </w:r>
          </w:p>
          <w:p w14:paraId="163AE94B" w14:textId="77777777" w:rsidR="00D14309" w:rsidRPr="0065554C" w:rsidRDefault="00D14309" w:rsidP="00784A20">
            <w:pPr>
              <w:pStyle w:val="EjeNumer1er"/>
              <w:numPr>
                <w:ilvl w:val="0"/>
                <w:numId w:val="43"/>
              </w:numPr>
            </w:pPr>
            <w:r w:rsidRPr="0065554C">
              <w:t>El Licitante presenta dos Ofertas de Venta condicionadas durante el proceso de precalificación para la Subasta:</w:t>
            </w:r>
          </w:p>
          <w:p w14:paraId="6D148F5A" w14:textId="77777777" w:rsidR="00034E0E" w:rsidRPr="0065554C" w:rsidRDefault="00034E0E" w:rsidP="000F4FEA">
            <w:pPr>
              <w:pStyle w:val="EjeNumer1er"/>
              <w:numPr>
                <w:ilvl w:val="0"/>
                <w:numId w:val="0"/>
              </w:numPr>
              <w:ind w:left="720"/>
            </w:pPr>
            <w:r w:rsidRPr="0065554C">
              <w:t>Oferta de Venta “b” es condicionada a la Oferta de Venta “a”</w:t>
            </w:r>
          </w:p>
          <w:p w14:paraId="48CC56DF" w14:textId="77777777" w:rsidR="00D14309" w:rsidRPr="0065554C" w:rsidRDefault="00D14309" w:rsidP="00784A20">
            <w:pPr>
              <w:pStyle w:val="EjeNumer1er"/>
              <w:numPr>
                <w:ilvl w:val="1"/>
                <w:numId w:val="22"/>
              </w:numPr>
            </w:pPr>
            <w:r w:rsidRPr="0065554C">
              <w:t>29.60 MW (potencia), 103,718.40 MWh (Energía Acumulable), 103,720 CELs</w:t>
            </w:r>
          </w:p>
          <w:p w14:paraId="622D877F" w14:textId="77777777" w:rsidR="00D14309" w:rsidRPr="0065554C" w:rsidRDefault="00D14309" w:rsidP="00784A20">
            <w:pPr>
              <w:pStyle w:val="EjeNumer1er"/>
              <w:numPr>
                <w:ilvl w:val="1"/>
                <w:numId w:val="22"/>
              </w:numPr>
            </w:pPr>
            <w:r w:rsidRPr="0065554C">
              <w:t>2.96 MW (potencia), 10,371.84 MWh (Energía Acumulable), 10,372 CELs</w:t>
            </w:r>
          </w:p>
          <w:p w14:paraId="07B3EEDA" w14:textId="77777777" w:rsidR="007902AB" w:rsidRPr="0065554C" w:rsidRDefault="00D14309" w:rsidP="00784A20">
            <w:pPr>
              <w:pStyle w:val="EjeNumer1er"/>
              <w:numPr>
                <w:ilvl w:val="0"/>
                <w:numId w:val="0"/>
              </w:numPr>
              <w:ind w:left="720" w:hanging="360"/>
            </w:pPr>
            <w:r w:rsidRPr="0065554C">
              <w:t xml:space="preserve">        </w:t>
            </w:r>
            <w:r w:rsidR="00403303" w:rsidRPr="0065554C">
              <w:t>Ambas</w:t>
            </w:r>
            <w:r w:rsidRPr="0065554C">
              <w:t xml:space="preserve"> </w:t>
            </w:r>
            <w:r w:rsidR="00403303" w:rsidRPr="0065554C">
              <w:t>O</w:t>
            </w:r>
            <w:r w:rsidRPr="0065554C">
              <w:t xml:space="preserve">fertas de </w:t>
            </w:r>
            <w:r w:rsidR="00403303" w:rsidRPr="0065554C">
              <w:t>V</w:t>
            </w:r>
            <w:r w:rsidRPr="0065554C">
              <w:t xml:space="preserve">enta </w:t>
            </w:r>
            <w:r w:rsidR="00403303" w:rsidRPr="0065554C">
              <w:t>son honradas por la Central Eléctrica A</w:t>
            </w:r>
            <w:r w:rsidRPr="0065554C">
              <w:t xml:space="preserve"> que tiene una capacidad de 37 MW con una producción anual estimada de 129,648 MWh de energía eléctrica limpia y 129,648 CELs.  </w:t>
            </w:r>
          </w:p>
          <w:p w14:paraId="1CDEE143" w14:textId="77777777" w:rsidR="007902AB" w:rsidRPr="0065554C" w:rsidRDefault="007902AB" w:rsidP="007902AB">
            <w:pPr>
              <w:pStyle w:val="EjeNumer1er"/>
              <w:numPr>
                <w:ilvl w:val="0"/>
                <w:numId w:val="0"/>
              </w:numPr>
              <w:ind w:left="737"/>
            </w:pPr>
            <w:r w:rsidRPr="0065554C">
              <w:t>La Oferta de Venta “a” cumple con el numeral 5.3.4 (d)(ii) (A) ya que la cantidad de Energía Eléctrica Acumulable ofertada es igual al 80% de la producción anual estimada de EEA de la central A y también cumple con el numeral 5.3.4 (d)(iii) (A) ya que la cantidad de CEL ofertada es mayor al 80% de la producción anual estimada de CEL de la central A.</w:t>
            </w:r>
          </w:p>
          <w:p w14:paraId="2D74866E" w14:textId="77777777" w:rsidR="007902AB" w:rsidRPr="0065554C" w:rsidRDefault="007902AB" w:rsidP="007902AB">
            <w:pPr>
              <w:pStyle w:val="EjeNumer1er"/>
              <w:numPr>
                <w:ilvl w:val="0"/>
                <w:numId w:val="0"/>
              </w:numPr>
              <w:ind w:left="737"/>
            </w:pPr>
            <w:r w:rsidRPr="0065554C">
              <w:t>La Oferta de Venta “b” oferta cantidades de EEA y CEL menores al 80% sin embargo cumple con el numeral 5.3.4 (d)(ii) (B) y (iii) (B) ya que se encuentra condicionada a la oferta “a” y esta cumple con el numeral 5.3.4 (d)(ii) (A) y (iii) (A).</w:t>
            </w:r>
          </w:p>
          <w:p w14:paraId="6A56018D" w14:textId="77777777" w:rsidR="007902AB" w:rsidRPr="0065554C" w:rsidRDefault="00034E0E" w:rsidP="000F4FEA">
            <w:pPr>
              <w:pStyle w:val="EjeNumer1er"/>
              <w:numPr>
                <w:ilvl w:val="0"/>
                <w:numId w:val="0"/>
              </w:numPr>
              <w:ind w:left="737"/>
            </w:pPr>
            <w:r w:rsidRPr="0065554C">
              <w:t>Las Ofertas de Venta guardan proporcionalidad en relación a los productos ofertados en cada paquete, la oferta “b” contiene el 10% de cada una de las cantidades de los productos de la oferta “a”. Por lo tanto, están correctamente condicionadas</w:t>
            </w:r>
            <w:r w:rsidR="00363188" w:rsidRPr="0065554C">
              <w:t xml:space="preserve"> y cumplen con el numeral 5.3.4 (f)</w:t>
            </w:r>
            <w:r w:rsidRPr="0065554C">
              <w:t>.</w:t>
            </w:r>
          </w:p>
          <w:p w14:paraId="00866507" w14:textId="77777777" w:rsidR="00D14309" w:rsidRPr="0065554C" w:rsidRDefault="00D14309" w:rsidP="00784A20">
            <w:pPr>
              <w:pStyle w:val="EjeNumer1er"/>
            </w:pPr>
            <w:r w:rsidRPr="0065554C">
              <w:t>El Licitante presenta una solicitud de precalificación para dos Ofertas de Venta condicionadas</w:t>
            </w:r>
            <w:r w:rsidR="002C49D3" w:rsidRPr="0065554C">
              <w:t xml:space="preserve">, La Oferta de Venta </w:t>
            </w:r>
            <w:r w:rsidR="009C44B4" w:rsidRPr="0065554C">
              <w:t>“</w:t>
            </w:r>
            <w:r w:rsidR="001733B0" w:rsidRPr="0065554C">
              <w:t>a</w:t>
            </w:r>
            <w:r w:rsidR="009C44B4" w:rsidRPr="0065554C">
              <w:t>”</w:t>
            </w:r>
            <w:r w:rsidR="002C49D3" w:rsidRPr="0065554C">
              <w:t xml:space="preserve"> es honrada con una Central Eléctrica </w:t>
            </w:r>
            <w:r w:rsidR="0026319E" w:rsidRPr="0065554C">
              <w:t>A que</w:t>
            </w:r>
            <w:r w:rsidR="002C49D3" w:rsidRPr="0065554C">
              <w:t xml:space="preserve"> tiene una capacid</w:t>
            </w:r>
            <w:r w:rsidR="001733B0" w:rsidRPr="0065554C">
              <w:t>ad de 15</w:t>
            </w:r>
            <w:r w:rsidR="002C49D3" w:rsidRPr="0065554C">
              <w:t xml:space="preserve"> MW con una producción </w:t>
            </w:r>
            <w:r w:rsidR="00363188" w:rsidRPr="0065554C">
              <w:t xml:space="preserve">total </w:t>
            </w:r>
            <w:r w:rsidR="002C49D3" w:rsidRPr="0065554C">
              <w:t xml:space="preserve">anual estimada </w:t>
            </w:r>
            <w:r w:rsidR="00363188" w:rsidRPr="0065554C">
              <w:t xml:space="preserve">de EEA </w:t>
            </w:r>
            <w:r w:rsidR="002C49D3" w:rsidRPr="0065554C">
              <w:t xml:space="preserve">de </w:t>
            </w:r>
            <w:r w:rsidR="001733B0" w:rsidRPr="0065554C">
              <w:t>37,500</w:t>
            </w:r>
            <w:r w:rsidR="002C49D3" w:rsidRPr="0065554C">
              <w:t xml:space="preserve"> MWh y </w:t>
            </w:r>
            <w:r w:rsidR="001733B0" w:rsidRPr="0065554C">
              <w:t>37,500</w:t>
            </w:r>
            <w:r w:rsidR="002C49D3" w:rsidRPr="0065554C">
              <w:t xml:space="preserve"> CELs</w:t>
            </w:r>
            <w:r w:rsidR="001733B0" w:rsidRPr="0065554C">
              <w:t xml:space="preserve">, la Oferta de Venta </w:t>
            </w:r>
            <w:r w:rsidR="009C44B4" w:rsidRPr="0065554C">
              <w:t>“</w:t>
            </w:r>
            <w:r w:rsidR="001733B0" w:rsidRPr="0065554C">
              <w:t>b</w:t>
            </w:r>
            <w:r w:rsidR="009C44B4" w:rsidRPr="0065554C">
              <w:t>”</w:t>
            </w:r>
            <w:r w:rsidR="001733B0" w:rsidRPr="0065554C">
              <w:t xml:space="preserve"> es honrada con una Central Eléctrica </w:t>
            </w:r>
            <w:r w:rsidR="008B19BA" w:rsidRPr="0065554C">
              <w:t>B</w:t>
            </w:r>
            <w:r w:rsidR="001733B0" w:rsidRPr="0065554C">
              <w:t xml:space="preserve"> que tiene una capacidad de 1</w:t>
            </w:r>
            <w:r w:rsidR="008B19BA" w:rsidRPr="0065554C">
              <w:t>0</w:t>
            </w:r>
            <w:r w:rsidR="001733B0" w:rsidRPr="0065554C">
              <w:t xml:space="preserve"> MW con una producción </w:t>
            </w:r>
            <w:r w:rsidR="00363188" w:rsidRPr="0065554C">
              <w:t xml:space="preserve">total </w:t>
            </w:r>
            <w:r w:rsidR="001733B0" w:rsidRPr="0065554C">
              <w:t xml:space="preserve">anual estimada </w:t>
            </w:r>
            <w:r w:rsidR="00363188" w:rsidRPr="0065554C">
              <w:t xml:space="preserve">de EEA </w:t>
            </w:r>
            <w:r w:rsidR="001733B0" w:rsidRPr="0065554C">
              <w:t>de 3</w:t>
            </w:r>
            <w:r w:rsidR="008B19BA" w:rsidRPr="0065554C">
              <w:t>0</w:t>
            </w:r>
            <w:r w:rsidR="001733B0" w:rsidRPr="0065554C">
              <w:t>,</w:t>
            </w:r>
            <w:r w:rsidR="008B19BA" w:rsidRPr="0065554C">
              <w:t>000</w:t>
            </w:r>
            <w:r w:rsidR="00363188" w:rsidRPr="0065554C">
              <w:t xml:space="preserve"> MWh</w:t>
            </w:r>
            <w:r w:rsidR="001733B0" w:rsidRPr="0065554C">
              <w:t xml:space="preserve"> y 3</w:t>
            </w:r>
            <w:r w:rsidR="008B19BA" w:rsidRPr="0065554C">
              <w:t>0</w:t>
            </w:r>
            <w:r w:rsidR="001733B0" w:rsidRPr="0065554C">
              <w:t>,</w:t>
            </w:r>
            <w:r w:rsidR="008B19BA" w:rsidRPr="0065554C">
              <w:t>0</w:t>
            </w:r>
            <w:r w:rsidR="001733B0" w:rsidRPr="0065554C">
              <w:t>00 CELs</w:t>
            </w:r>
            <w:r w:rsidRPr="0065554C">
              <w:t>:</w:t>
            </w:r>
          </w:p>
          <w:p w14:paraId="3EDE791D" w14:textId="77777777" w:rsidR="00363188" w:rsidRPr="0065554C" w:rsidRDefault="00363188" w:rsidP="000F4FEA">
            <w:pPr>
              <w:pStyle w:val="EjeNumer1er"/>
              <w:numPr>
                <w:ilvl w:val="0"/>
                <w:numId w:val="0"/>
              </w:numPr>
              <w:ind w:left="720"/>
            </w:pPr>
            <w:r w:rsidRPr="0065554C">
              <w:t>Oferta de Venta “b” es condicionada a la Oferta de Venta “a”</w:t>
            </w:r>
          </w:p>
          <w:p w14:paraId="77D91085" w14:textId="77777777" w:rsidR="00D14309" w:rsidRPr="0065554C" w:rsidRDefault="00D14309" w:rsidP="00784A20">
            <w:pPr>
              <w:pStyle w:val="EjeNumer1er"/>
              <w:numPr>
                <w:ilvl w:val="1"/>
                <w:numId w:val="22"/>
              </w:numPr>
            </w:pPr>
            <w:r w:rsidRPr="0065554C">
              <w:t>0 MW (potencia), 30,000 MWh (Energía Acumulable), 35,0000 CELs</w:t>
            </w:r>
          </w:p>
          <w:p w14:paraId="5D5BB274" w14:textId="77777777" w:rsidR="00D14309" w:rsidRPr="0065554C" w:rsidRDefault="00D14309" w:rsidP="00784A20">
            <w:pPr>
              <w:pStyle w:val="EjeNumer1er"/>
              <w:numPr>
                <w:ilvl w:val="1"/>
                <w:numId w:val="22"/>
              </w:numPr>
            </w:pPr>
            <w:r w:rsidRPr="0065554C">
              <w:t>0 MW (potencia), 24,000 MWh (Energía Acumulable), 28,0000 CELs</w:t>
            </w:r>
          </w:p>
          <w:p w14:paraId="21D9FAF6" w14:textId="77777777" w:rsidR="008B19BA" w:rsidRPr="0065554C" w:rsidRDefault="0026319E" w:rsidP="00784A20">
            <w:pPr>
              <w:pStyle w:val="EjeNumer1er"/>
              <w:numPr>
                <w:ilvl w:val="0"/>
                <w:numId w:val="0"/>
              </w:numPr>
              <w:ind w:left="737"/>
            </w:pPr>
            <w:r w:rsidRPr="0065554C">
              <w:t xml:space="preserve">La Oferta de Venta </w:t>
            </w:r>
            <w:r w:rsidR="009C44B4" w:rsidRPr="0065554C">
              <w:t>“</w:t>
            </w:r>
            <w:r w:rsidRPr="0065554C">
              <w:t>a</w:t>
            </w:r>
            <w:r w:rsidR="009C44B4" w:rsidRPr="0065554C">
              <w:t>”</w:t>
            </w:r>
            <w:r w:rsidRPr="0065554C">
              <w:t xml:space="preserve"> </w:t>
            </w:r>
            <w:r w:rsidR="00631927" w:rsidRPr="0065554C">
              <w:t>cumple</w:t>
            </w:r>
            <w:r w:rsidRPr="0065554C">
              <w:t xml:space="preserve"> con e</w:t>
            </w:r>
            <w:r w:rsidR="00631927" w:rsidRPr="0065554C">
              <w:t>l</w:t>
            </w:r>
            <w:r w:rsidRPr="0065554C">
              <w:t xml:space="preserve"> numeral 5.3.4 (d)(ii) (A) ya que la cantidad de </w:t>
            </w:r>
            <w:r w:rsidR="00631927" w:rsidRPr="0065554C">
              <w:t>Energía Eléctrica Acumulable</w:t>
            </w:r>
            <w:r w:rsidRPr="0065554C">
              <w:t xml:space="preserve"> ofertad</w:t>
            </w:r>
            <w:r w:rsidR="00631927" w:rsidRPr="0065554C">
              <w:t>a</w:t>
            </w:r>
            <w:r w:rsidRPr="0065554C">
              <w:t xml:space="preserve"> </w:t>
            </w:r>
            <w:r w:rsidR="00631927" w:rsidRPr="0065554C">
              <w:t>es igual al 80% de la producción anual estimada de EEA de la central A y también cumple con el numeral 5.3.4 (d)(iii) (A) ya que la cantidad de CEL ofertada es mayor al 80% de la producción anual estimada de CEL de la central A.</w:t>
            </w:r>
          </w:p>
          <w:p w14:paraId="427D7BA5" w14:textId="77777777" w:rsidR="00631927" w:rsidRPr="0065554C" w:rsidRDefault="00631927" w:rsidP="00631927">
            <w:pPr>
              <w:pStyle w:val="EjeNumer1er"/>
              <w:numPr>
                <w:ilvl w:val="0"/>
                <w:numId w:val="0"/>
              </w:numPr>
              <w:ind w:left="737"/>
            </w:pPr>
            <w:r w:rsidRPr="0065554C">
              <w:t xml:space="preserve">La Oferta de Venta </w:t>
            </w:r>
            <w:r w:rsidR="009C44B4" w:rsidRPr="0065554C">
              <w:t>“</w:t>
            </w:r>
            <w:r w:rsidRPr="0065554C">
              <w:t>b</w:t>
            </w:r>
            <w:r w:rsidR="009C44B4" w:rsidRPr="0065554C">
              <w:t>”</w:t>
            </w:r>
            <w:r w:rsidRPr="0065554C">
              <w:t xml:space="preserve"> cumple con el numeral 5.3.4 (d)(ii) (A) ya que la cantidad de Energía Eléctrica Acumulable ofertada es igual al 80% de la producción anual estimada de EEA de la central B y también cumple con el numeral 5.3.4 (d)(iii) (A) ya que la cantidad de CEL ofertada es mayor al 80% de la producción anual estimada de CEL de la central B.</w:t>
            </w:r>
          </w:p>
          <w:p w14:paraId="62FD3F55" w14:textId="77777777" w:rsidR="00D14309" w:rsidRPr="0065554C" w:rsidRDefault="00D14309" w:rsidP="00784A20">
            <w:pPr>
              <w:pStyle w:val="EjeNumer1er"/>
            </w:pPr>
            <w:r w:rsidRPr="0065554C">
              <w:t>El Licitante presenta una solicitud de precalificación para dos Ofertas de Venta condicionadas:</w:t>
            </w:r>
          </w:p>
          <w:p w14:paraId="28738A47" w14:textId="77777777" w:rsidR="005712BC" w:rsidRPr="0065554C" w:rsidRDefault="005712BC" w:rsidP="005712BC">
            <w:pPr>
              <w:pStyle w:val="EjeNumer1er"/>
              <w:numPr>
                <w:ilvl w:val="0"/>
                <w:numId w:val="0"/>
              </w:numPr>
              <w:ind w:left="720"/>
            </w:pPr>
            <w:r w:rsidRPr="0065554C">
              <w:t>Oferta de Venta “b” es condicionada a la Oferta de Venta “a”</w:t>
            </w:r>
          </w:p>
          <w:p w14:paraId="738C9CEF" w14:textId="77777777" w:rsidR="005712BC" w:rsidRPr="0065554C" w:rsidRDefault="005712BC" w:rsidP="000F4FEA">
            <w:pPr>
              <w:pStyle w:val="EjeNumer1er"/>
              <w:numPr>
                <w:ilvl w:val="0"/>
                <w:numId w:val="0"/>
              </w:numPr>
              <w:ind w:left="720"/>
            </w:pPr>
          </w:p>
          <w:p w14:paraId="746D602D" w14:textId="77777777" w:rsidR="00D14309" w:rsidRPr="0065554C" w:rsidRDefault="00D14309" w:rsidP="00784A20">
            <w:pPr>
              <w:pStyle w:val="EjeNumer1er"/>
              <w:numPr>
                <w:ilvl w:val="1"/>
                <w:numId w:val="22"/>
              </w:numPr>
            </w:pPr>
            <w:r w:rsidRPr="0065554C">
              <w:t>5 MW (potencia), 30,000 MWh (Energía Acumulable), 35,0000 CELs</w:t>
            </w:r>
          </w:p>
          <w:p w14:paraId="230F9928" w14:textId="77777777" w:rsidR="00D14309" w:rsidRPr="0065554C" w:rsidRDefault="00D14309" w:rsidP="00784A20">
            <w:pPr>
              <w:pStyle w:val="EjeNumer1er"/>
              <w:numPr>
                <w:ilvl w:val="1"/>
                <w:numId w:val="22"/>
              </w:numPr>
            </w:pPr>
            <w:r w:rsidRPr="0065554C">
              <w:t>0 MW (potencia), 24,000 MWh (Energía Acumulable), 28,0000 CELs</w:t>
            </w:r>
          </w:p>
          <w:p w14:paraId="28736248" w14:textId="77777777" w:rsidR="00D14309" w:rsidRPr="0065554C" w:rsidRDefault="003A7D9C" w:rsidP="00784A20">
            <w:pPr>
              <w:pStyle w:val="EjeNumer1er"/>
              <w:numPr>
                <w:ilvl w:val="0"/>
                <w:numId w:val="0"/>
              </w:numPr>
              <w:ind w:left="737"/>
            </w:pPr>
            <w:r w:rsidRPr="0065554C">
              <w:t>En el ejemplo 3 l</w:t>
            </w:r>
            <w:r w:rsidR="00D14309" w:rsidRPr="0065554C">
              <w:t>a cantidad de productos de Energía Eléctrica Acumulable y CELs guardan la misma proporcionalidad, sin embargo, la cantidad de potencia que tiene la oferta (b) no es el 80% de la cantidad de dicho producto contenido en la oferta (a), por lo que no es válido el condicionamiento y serían rechazadas durante el proceso de precalificación.</w:t>
            </w:r>
          </w:p>
          <w:p w14:paraId="6D8E3A52" w14:textId="6A7541A4" w:rsidR="00D14309" w:rsidRPr="0065554C" w:rsidRDefault="00D14309" w:rsidP="00784A20">
            <w:pPr>
              <w:pStyle w:val="EjeNumer1er"/>
            </w:pPr>
            <w:r w:rsidRPr="0065554C">
              <w:t>El Licitante presenta las siguientes tres Ofertas de Venta condicionadas entre sí</w:t>
            </w:r>
            <w:r w:rsidR="00E20CDE">
              <w:t xml:space="preserve"> a una misma central </w:t>
            </w:r>
            <w:r w:rsidR="00140072">
              <w:t>A</w:t>
            </w:r>
            <w:r w:rsidRPr="0065554C">
              <w:t>:</w:t>
            </w:r>
          </w:p>
          <w:p w14:paraId="046057A6" w14:textId="77777777" w:rsidR="00D14309" w:rsidRPr="0065554C" w:rsidRDefault="00D14309" w:rsidP="00784A20">
            <w:pPr>
              <w:pStyle w:val="EjeNumer1er"/>
              <w:numPr>
                <w:ilvl w:val="1"/>
                <w:numId w:val="22"/>
              </w:numPr>
            </w:pPr>
            <w:r w:rsidRPr="0065554C">
              <w:t>8 MW (potencia), 0 MWh (Energía Acumulable), 0 CELs</w:t>
            </w:r>
          </w:p>
          <w:p w14:paraId="7F0F3885" w14:textId="77777777" w:rsidR="00D14309" w:rsidRPr="0065554C" w:rsidRDefault="00D14309" w:rsidP="00784A20">
            <w:pPr>
              <w:pStyle w:val="EjeNumer1er"/>
              <w:numPr>
                <w:ilvl w:val="1"/>
                <w:numId w:val="22"/>
              </w:numPr>
            </w:pPr>
            <w:r w:rsidRPr="0065554C">
              <w:t>0 MW (potencia), 10,000 MWh (Energía Acumulable), 0 CELs</w:t>
            </w:r>
          </w:p>
          <w:p w14:paraId="05F82F85" w14:textId="77777777" w:rsidR="00D14309" w:rsidRPr="0065554C" w:rsidRDefault="00D14309" w:rsidP="00784A20">
            <w:pPr>
              <w:pStyle w:val="EjeNumer1er"/>
              <w:numPr>
                <w:ilvl w:val="1"/>
                <w:numId w:val="22"/>
              </w:numPr>
            </w:pPr>
            <w:r w:rsidRPr="0065554C">
              <w:t>0 MW (potencia), 0 MWh (Energía Acumulable), 10,000 CELs</w:t>
            </w:r>
          </w:p>
          <w:p w14:paraId="1D43B5B2" w14:textId="77777777" w:rsidR="008E1403" w:rsidRPr="0065554C" w:rsidRDefault="00D14309" w:rsidP="00784A20">
            <w:pPr>
              <w:pStyle w:val="EjeNumer1er"/>
              <w:numPr>
                <w:ilvl w:val="0"/>
                <w:numId w:val="0"/>
              </w:numPr>
              <w:ind w:left="737"/>
              <w:rPr>
                <w:rFonts w:ascii="Calibri" w:hAnsi="Calibri"/>
              </w:rPr>
            </w:pPr>
            <w:r w:rsidRPr="0065554C">
              <w:t>Dado que no existe ninguna proporcionalidad entre estas tres ofertas, estas no serían válidas según la regla estipulada en el numeral 5.</w:t>
            </w:r>
            <w:r w:rsidR="009C761F" w:rsidRPr="0065554C">
              <w:t>3</w:t>
            </w:r>
            <w:r w:rsidRPr="0065554C">
              <w:t>.</w:t>
            </w:r>
            <w:r w:rsidR="009C761F" w:rsidRPr="0065554C">
              <w:t>4</w:t>
            </w:r>
            <w:r w:rsidRPr="0065554C">
              <w:t xml:space="preserve"> (</w:t>
            </w:r>
            <w:r w:rsidR="00EB7065" w:rsidRPr="0065554C">
              <w:t>f</w:t>
            </w:r>
            <w:r w:rsidRPr="0065554C">
              <w:t>), por lo que serían rechazadas durante el proceso de precalificación.</w:t>
            </w:r>
          </w:p>
        </w:tc>
      </w:tr>
      <w:tr w:rsidR="0065554C" w:rsidRPr="0065554C" w14:paraId="7CA31DFF" w14:textId="77777777" w:rsidTr="008F4D7F">
        <w:tc>
          <w:tcPr>
            <w:tcW w:w="10065" w:type="dxa"/>
            <w:shd w:val="clear" w:color="auto" w:fill="DDD9C3"/>
          </w:tcPr>
          <w:p w14:paraId="523955F3" w14:textId="77777777" w:rsidR="008B19BA" w:rsidRPr="0065554C" w:rsidRDefault="008B19BA" w:rsidP="00784A20">
            <w:pPr>
              <w:pStyle w:val="Ejemplo"/>
              <w:jc w:val="both"/>
            </w:pPr>
          </w:p>
        </w:tc>
      </w:tr>
    </w:tbl>
    <w:p w14:paraId="18C2ADDC" w14:textId="77777777" w:rsidR="004872E2" w:rsidRPr="0065554C" w:rsidRDefault="004872E2" w:rsidP="00A82589">
      <w:pPr>
        <w:pStyle w:val="Subinciso"/>
        <w:numPr>
          <w:ilvl w:val="0"/>
          <w:numId w:val="0"/>
        </w:numPr>
        <w:ind w:left="1985"/>
        <w:rPr>
          <w:lang w:val="es-MX"/>
        </w:rPr>
      </w:pPr>
    </w:p>
    <w:p w14:paraId="7F948BE3" w14:textId="77777777" w:rsidR="00160338" w:rsidRPr="0065554C" w:rsidRDefault="00160338" w:rsidP="005E311D">
      <w:pPr>
        <w:pStyle w:val="Numeral"/>
      </w:pPr>
      <w:r w:rsidRPr="0065554C">
        <w:t xml:space="preserve">Salvo en el caso de las Garantías de Seriedad, la documentación presentada por el </w:t>
      </w:r>
      <w:r w:rsidR="00903C2A" w:rsidRPr="0065554C">
        <w:rPr>
          <w:rFonts w:eastAsia="Times New Roman"/>
          <w:spacing w:val="-3"/>
        </w:rPr>
        <w:t>Licitante</w:t>
      </w:r>
      <w:r w:rsidRPr="0065554C">
        <w:t xml:space="preserve"> para obtener la pr</w:t>
      </w:r>
      <w:r w:rsidRPr="0065554C">
        <w:rPr>
          <w:spacing w:val="-2"/>
        </w:rPr>
        <w:t>e</w:t>
      </w:r>
      <w:r w:rsidRPr="0065554C">
        <w:rPr>
          <w:spacing w:val="-1"/>
        </w:rPr>
        <w:t>ca</w:t>
      </w:r>
      <w:r w:rsidRPr="0065554C">
        <w:t>lif</w:t>
      </w:r>
      <w:r w:rsidRPr="0065554C">
        <w:rPr>
          <w:spacing w:val="2"/>
        </w:rPr>
        <w:t>i</w:t>
      </w:r>
      <w:r w:rsidRPr="0065554C">
        <w:rPr>
          <w:spacing w:val="-1"/>
        </w:rPr>
        <w:t>cac</w:t>
      </w:r>
      <w:r w:rsidRPr="0065554C">
        <w:t>ión de la o las Ofertas de Venta d</w:t>
      </w:r>
      <w:r w:rsidRPr="0065554C">
        <w:rPr>
          <w:spacing w:val="-1"/>
        </w:rPr>
        <w:t>e</w:t>
      </w:r>
      <w:r w:rsidRPr="0065554C">
        <w:rPr>
          <w:spacing w:val="2"/>
        </w:rPr>
        <w:t>b</w:t>
      </w:r>
      <w:r w:rsidRPr="0065554C">
        <w:rPr>
          <w:spacing w:val="-1"/>
        </w:rPr>
        <w:t>e</w:t>
      </w:r>
      <w:r w:rsidRPr="0065554C">
        <w:t>rá cumplir con los requisitos siguientes</w:t>
      </w:r>
      <w:r w:rsidRPr="0065554C">
        <w:rPr>
          <w:spacing w:val="-2"/>
        </w:rPr>
        <w:t>:</w:t>
      </w:r>
    </w:p>
    <w:p w14:paraId="00C781CC" w14:textId="77777777" w:rsidR="00160338" w:rsidRPr="0065554C" w:rsidRDefault="00160338" w:rsidP="005E311D">
      <w:pPr>
        <w:pStyle w:val="Inciso"/>
      </w:pPr>
      <w:r w:rsidRPr="0065554C">
        <w:t>El nombre del archivo electrónico del documento probatorio deberá estar claramente relacionado con el requisito que pretende acreditar.</w:t>
      </w:r>
    </w:p>
    <w:p w14:paraId="00CB2C2E" w14:textId="77777777" w:rsidR="00160338" w:rsidRPr="0065554C" w:rsidRDefault="00160338" w:rsidP="005E311D">
      <w:pPr>
        <w:pStyle w:val="Inciso"/>
      </w:pPr>
      <w:r w:rsidRPr="0065554C">
        <w:t xml:space="preserve">Cada documento deberá estar firmado por quien tenga facultades para obligar al </w:t>
      </w:r>
      <w:r w:rsidR="00953FF1" w:rsidRPr="0065554C">
        <w:t xml:space="preserve">Licitante </w:t>
      </w:r>
      <w:r w:rsidRPr="0065554C">
        <w:t xml:space="preserve">de acuerdo con los poderes o instrumentos jurídicos que se acompañen a la propia solicitud de precalificación de Oferta de Venta. </w:t>
      </w:r>
    </w:p>
    <w:p w14:paraId="0D6A959D" w14:textId="77777777" w:rsidR="00160338" w:rsidRPr="0065554C" w:rsidRDefault="00160338" w:rsidP="005E311D">
      <w:pPr>
        <w:pStyle w:val="Subinciso"/>
      </w:pPr>
      <w:r w:rsidRPr="0065554C">
        <w:t xml:space="preserve">Si el </w:t>
      </w:r>
      <w:r w:rsidR="00953FF1" w:rsidRPr="0065554C">
        <w:t xml:space="preserve">Licitante </w:t>
      </w:r>
      <w:r w:rsidRPr="0065554C">
        <w:t>es persona física, podrá firmar el propio Interesado o el representante legal que esté debidamente acreditado en la documentación presentada.</w:t>
      </w:r>
    </w:p>
    <w:p w14:paraId="4CFA7027" w14:textId="77777777" w:rsidR="00160338" w:rsidRPr="0065554C" w:rsidRDefault="00160338" w:rsidP="005E311D">
      <w:pPr>
        <w:pStyle w:val="Subinciso"/>
      </w:pPr>
      <w:r w:rsidRPr="0065554C">
        <w:t xml:space="preserve">Si el </w:t>
      </w:r>
      <w:r w:rsidR="00953FF1" w:rsidRPr="0065554C">
        <w:t>Licitante</w:t>
      </w:r>
      <w:r w:rsidRPr="0065554C">
        <w:t xml:space="preserve"> es una persona moral, podrá firmar cualquier persona física que tenga poder suficiente para actuar en su nombre y representación conforme al instrumento presentado en el que conste ese poder.</w:t>
      </w:r>
    </w:p>
    <w:p w14:paraId="3EAD57A1" w14:textId="77777777" w:rsidR="00160338" w:rsidRPr="0065554C" w:rsidRDefault="00160338" w:rsidP="005E311D">
      <w:pPr>
        <w:pStyle w:val="Subinciso"/>
      </w:pPr>
      <w:r w:rsidRPr="0065554C">
        <w:t xml:space="preserve">Si el </w:t>
      </w:r>
      <w:r w:rsidR="00953FF1" w:rsidRPr="0065554C">
        <w:t>Licitante</w:t>
      </w:r>
      <w:r w:rsidRPr="0065554C">
        <w:t xml:space="preserve"> es un Consorcio, podrán firmar todos los integrantes del mismo aplicándose lo previsto en los subincisos (i) y (ii) anteriores, según se trate de personas físicas o personas morales, o bien, podrá firmar la persona física o personas físicas que tengan poder suficiente para actuar en su nombre y representación si ha sido presentado el instrumento en el que </w:t>
      </w:r>
      <w:r w:rsidRPr="0065554C">
        <w:lastRenderedPageBreak/>
        <w:t>conste ese poder. También podrá hacerlo el representante legal del representante común del Consorcio, siempre y cuando esa designación conste en la documentación presentada y así se haya indicado conforme a lo previsto en las Bases de Licitación.</w:t>
      </w:r>
    </w:p>
    <w:p w14:paraId="1B079A5A" w14:textId="77777777" w:rsidR="00160338" w:rsidRPr="0065554C" w:rsidRDefault="00160338" w:rsidP="005E311D">
      <w:pPr>
        <w:pStyle w:val="Subinciso"/>
      </w:pPr>
      <w:r w:rsidRPr="0065554C">
        <w:t xml:space="preserve">La persona o personas físicas que suscriban la solicitud de precalificación de Ofertas de Venta deberán tener acreditada la representación del </w:t>
      </w:r>
      <w:r w:rsidR="00953FF1" w:rsidRPr="0065554C">
        <w:t>Licitante</w:t>
      </w:r>
      <w:r w:rsidRPr="0065554C">
        <w:t xml:space="preserve"> (o de las personas que sean miembros del </w:t>
      </w:r>
      <w:r w:rsidR="00953FF1" w:rsidRPr="0065554C">
        <w:t>Licitante</w:t>
      </w:r>
      <w:r w:rsidRPr="0065554C">
        <w:t>) en la misma documentación que haya sido presentada como parte de la solicitud de precalificación de la Oferta de Venta. Lo anterior a efecto de que en la evaluación correspondiente se pueda verificar la representación legal del Interesado o de los miembros que lo integren si se trata de un Consorcio. Por esa razón los representantes legales y el representante común deberán contar con poderes suficientes para los efectos mencionados en este inciso.</w:t>
      </w:r>
    </w:p>
    <w:p w14:paraId="0DB92087" w14:textId="77777777" w:rsidR="00160338" w:rsidRPr="0065554C" w:rsidRDefault="00160338" w:rsidP="005E311D">
      <w:pPr>
        <w:pStyle w:val="Inciso"/>
      </w:pPr>
      <w:r w:rsidRPr="0065554C">
        <w:t xml:space="preserve">Los documentos que se presenten deben cumplir con las formalidades legales para su validez, en los términos de las leyes que les resulten aplicables según su país de origen. </w:t>
      </w:r>
    </w:p>
    <w:p w14:paraId="12218681" w14:textId="77777777" w:rsidR="00160338" w:rsidRPr="0065554C" w:rsidRDefault="00160338" w:rsidP="005E311D">
      <w:pPr>
        <w:pStyle w:val="Inciso"/>
      </w:pPr>
      <w:r w:rsidRPr="0065554C">
        <w:t xml:space="preserve">Sin perjuicio de lo anterior, todos los documentos se deberán presentar en idioma español. En caso de que el documento original esté redactado en un idioma distinto al español, el </w:t>
      </w:r>
      <w:r w:rsidR="00D116C0" w:rsidRPr="0065554C">
        <w:t xml:space="preserve">Interesado </w:t>
      </w:r>
      <w:r w:rsidRPr="0065554C">
        <w:t xml:space="preserve">deberá entregar junto con el documento original una traducción al idioma español, de conformidad con lo señalado en el numeral 3.2.9. </w:t>
      </w:r>
    </w:p>
    <w:p w14:paraId="2B31C3D4" w14:textId="77777777" w:rsidR="00160338" w:rsidRPr="0065554C" w:rsidRDefault="00160338" w:rsidP="005E311D">
      <w:pPr>
        <w:pStyle w:val="Inciso"/>
      </w:pPr>
      <w:r w:rsidRPr="0065554C">
        <w:t xml:space="preserve">Si la o las Ofertas de Venta cuya precalificación se solicita son declaradas ganadoras, los documentos que se suban al Sitio deberán coincidir con los documentos originales que el Licitante deberá presentar para cotejo en los plazos señalados </w:t>
      </w:r>
      <w:r w:rsidR="00FB1622" w:rsidRPr="0065554C">
        <w:t xml:space="preserve">en el </w:t>
      </w:r>
      <w:r w:rsidRPr="0065554C">
        <w:t>Calendario de la Subasta.</w:t>
      </w:r>
    </w:p>
    <w:p w14:paraId="2F326200" w14:textId="77777777" w:rsidR="00160338" w:rsidRPr="0065554C" w:rsidRDefault="00160338" w:rsidP="005E311D">
      <w:pPr>
        <w:pStyle w:val="Inciso"/>
      </w:pPr>
      <w:r w:rsidRPr="0065554C">
        <w:t xml:space="preserve">En caso de presentar documentos que contengan información que no sea pública, el </w:t>
      </w:r>
      <w:r w:rsidR="00D116C0" w:rsidRPr="0065554C">
        <w:t>Interesado</w:t>
      </w:r>
      <w:r w:rsidR="00D116C0" w:rsidRPr="0065554C" w:rsidDel="00953FF1">
        <w:t xml:space="preserve"> </w:t>
      </w:r>
      <w:r w:rsidR="00FA3163" w:rsidRPr="0065554C">
        <w:t>deberá</w:t>
      </w:r>
      <w:r w:rsidRPr="0065554C">
        <w:t xml:space="preserve"> identificar claramente cuál información se encuentra como reservada o confidencial, en términos de la normatividad aplicable. Para efectos de este inciso, si el </w:t>
      </w:r>
      <w:r w:rsidR="00306E77" w:rsidRPr="0065554C">
        <w:t>Interesado</w:t>
      </w:r>
      <w:r w:rsidR="00306E77" w:rsidRPr="0065554C" w:rsidDel="00953FF1">
        <w:t xml:space="preserve"> </w:t>
      </w:r>
      <w:r w:rsidR="00FA3163" w:rsidRPr="0065554C">
        <w:t>así</w:t>
      </w:r>
      <w:r w:rsidRPr="0065554C">
        <w:t xml:space="preserve"> lo desea, podrá presentar una versión pública de dichos documentos, ya sea tachando o borrando en el texto mismo las partes o secciones que considere reservadas o confidenciales. </w:t>
      </w:r>
    </w:p>
    <w:p w14:paraId="3AE66681" w14:textId="77777777" w:rsidR="00160338" w:rsidRPr="0065554C" w:rsidRDefault="00160338" w:rsidP="005E311D">
      <w:pPr>
        <w:pStyle w:val="Inciso"/>
      </w:pPr>
      <w:r w:rsidRPr="0065554C">
        <w:t xml:space="preserve">Los documentos probatorios deberán relacionarse claramente con los requisitos solicitados. </w:t>
      </w:r>
    </w:p>
    <w:p w14:paraId="33F727CC" w14:textId="77777777" w:rsidR="00160338" w:rsidRPr="0065554C" w:rsidRDefault="00160338" w:rsidP="005E311D">
      <w:pPr>
        <w:pStyle w:val="Inciso"/>
      </w:pPr>
      <w:r w:rsidRPr="0065554C">
        <w:t xml:space="preserve">En caso de que un mismo documento probatorio </w:t>
      </w:r>
      <w:r w:rsidR="00493B27" w:rsidRPr="0065554C">
        <w:t xml:space="preserve">y/o anexos </w:t>
      </w:r>
      <w:r w:rsidRPr="0065554C">
        <w:t>sea</w:t>
      </w:r>
      <w:r w:rsidR="00493B27" w:rsidRPr="0065554C">
        <w:t>n</w:t>
      </w:r>
      <w:r w:rsidRPr="0065554C">
        <w:t xml:space="preserve"> utilizado</w:t>
      </w:r>
      <w:r w:rsidR="00493B27" w:rsidRPr="0065554C">
        <w:t>s</w:t>
      </w:r>
      <w:r w:rsidRPr="0065554C">
        <w:t xml:space="preserve"> para acreditar el cumplimiento de requisitos para dos o más solicitudes de precalificación de Ofertas de Venta, bastará con que el mismo sea presentado una sola vez, siempre y cuando se haga constar lo anterior presentando en su lugar un escrito en el que se señale que éste ha sido presentado y se indiquen los folios o solicitudes de precalificación de Ofertas de Venta correspondientes a fin de que se tenga por reproducido el mismo documento. En virtud de tratarse de documentos digitales, el </w:t>
      </w:r>
      <w:r w:rsidR="00FA3163" w:rsidRPr="0065554C">
        <w:t>Licitante</w:t>
      </w:r>
      <w:r w:rsidR="00FA3163" w:rsidRPr="0065554C" w:rsidDel="00953FF1">
        <w:t xml:space="preserve"> </w:t>
      </w:r>
      <w:r w:rsidR="00FA3163" w:rsidRPr="0065554C">
        <w:t>también</w:t>
      </w:r>
      <w:r w:rsidRPr="0065554C">
        <w:t xml:space="preserve"> podrá optar por presentar el documento varias veces con un folio distinto.</w:t>
      </w:r>
    </w:p>
    <w:p w14:paraId="2BBE9B25" w14:textId="77777777" w:rsidR="00160338" w:rsidRPr="0065554C" w:rsidRDefault="00160338" w:rsidP="005E311D">
      <w:pPr>
        <w:pStyle w:val="Numeral"/>
      </w:pPr>
      <w:r w:rsidRPr="0065554C">
        <w:lastRenderedPageBreak/>
        <w:t>Los requisitos aplicables deberán acreditarse en forma individual, incluso tratándose de Consorcios, excepto si se trata de requisitos para los que se prevea de manera expresa la posibilidad de acreditarlos colectivamente.</w:t>
      </w:r>
    </w:p>
    <w:p w14:paraId="4A52B2B5" w14:textId="77777777" w:rsidR="00160338" w:rsidRPr="0065554C" w:rsidRDefault="00160338" w:rsidP="005E311D">
      <w:pPr>
        <w:pStyle w:val="Numeral"/>
      </w:pPr>
      <w:r w:rsidRPr="0065554C">
        <w:t xml:space="preserve">Los </w:t>
      </w:r>
      <w:r w:rsidR="00FA3163" w:rsidRPr="0065554C">
        <w:t>Licitante</w:t>
      </w:r>
      <w:r w:rsidR="00FA3163" w:rsidRPr="0065554C" w:rsidDel="00953FF1">
        <w:t xml:space="preserve"> </w:t>
      </w:r>
      <w:r w:rsidR="00FA3163" w:rsidRPr="0065554C">
        <w:t>deberán</w:t>
      </w:r>
      <w:r w:rsidRPr="0065554C">
        <w:t xml:space="preserve"> evitar pactos, incluso de confidencialidad, entre el </w:t>
      </w:r>
      <w:r w:rsidR="00953FF1" w:rsidRPr="0065554C">
        <w:t>Licitante</w:t>
      </w:r>
      <w:r w:rsidRPr="0065554C">
        <w:t xml:space="preserve"> y los emisores de la documentación, que impidan al CENACE verificar, a su entera satisfacción y con base en las prácticas usuales de la industria eléctrica internacional, la veracidad de </w:t>
      </w:r>
      <w:r w:rsidRPr="0065554C">
        <w:rPr>
          <w:rFonts w:eastAsia="Times New Roman"/>
        </w:rPr>
        <w:t>la</w:t>
      </w:r>
      <w:r w:rsidRPr="0065554C">
        <w:t xml:space="preserve"> información</w:t>
      </w:r>
      <w:r w:rsidRPr="0065554C">
        <w:rPr>
          <w:rFonts w:eastAsia="Times New Roman"/>
        </w:rPr>
        <w:t xml:space="preserve"> presentada</w:t>
      </w:r>
      <w:r w:rsidRPr="0065554C">
        <w:t>.</w:t>
      </w:r>
    </w:p>
    <w:p w14:paraId="619EA28B" w14:textId="77777777" w:rsidR="00160338" w:rsidRPr="0065554C" w:rsidRDefault="00160338" w:rsidP="005E311D">
      <w:pPr>
        <w:pStyle w:val="Numeral"/>
      </w:pPr>
      <w:r w:rsidRPr="0065554C">
        <w:t xml:space="preserve">No será causal de desechamiento de las solicitudes de precalificación </w:t>
      </w:r>
      <w:r w:rsidRPr="0065554C">
        <w:rPr>
          <w:rFonts w:eastAsia="Times New Roman"/>
        </w:rPr>
        <w:t>de Ofertas de Venta el incumplimiento de los aspectos de forma antes señalados</w:t>
      </w:r>
      <w:r w:rsidRPr="0065554C">
        <w:t xml:space="preserve">; sin embargo, </w:t>
      </w:r>
      <w:r w:rsidRPr="0065554C">
        <w:rPr>
          <w:rFonts w:eastAsia="Times New Roman"/>
        </w:rPr>
        <w:t>este</w:t>
      </w:r>
      <w:r w:rsidRPr="0065554C">
        <w:t xml:space="preserve"> requisito tiene como propósito facilitar la presentación de </w:t>
      </w:r>
      <w:r w:rsidRPr="0065554C">
        <w:rPr>
          <w:rFonts w:eastAsia="Times New Roman"/>
        </w:rPr>
        <w:t>la documentación,</w:t>
      </w:r>
      <w:r w:rsidRPr="0065554C">
        <w:t xml:space="preserve"> agilizar su revisión</w:t>
      </w:r>
      <w:r w:rsidRPr="0065554C">
        <w:rPr>
          <w:rFonts w:eastAsia="Times New Roman"/>
        </w:rPr>
        <w:t xml:space="preserve"> y, en su caso, permitir hacer referencia a elementos específicos a fin de requerir aclaraciones o señalar cualquier tipo de problema cuando así lo permitan las Bases de Licitación</w:t>
      </w:r>
      <w:r w:rsidRPr="0065554C">
        <w:t>.</w:t>
      </w:r>
    </w:p>
    <w:p w14:paraId="1DCE91B4" w14:textId="77777777" w:rsidR="00160338" w:rsidRPr="0065554C" w:rsidRDefault="00160338" w:rsidP="00160338">
      <w:pPr>
        <w:pStyle w:val="Seccin"/>
      </w:pPr>
      <w:bookmarkStart w:id="312" w:name="_Toc436433774"/>
      <w:bookmarkStart w:id="313" w:name="_Toc436487870"/>
      <w:bookmarkStart w:id="314" w:name="_Toc450052188"/>
      <w:bookmarkStart w:id="315" w:name="_Toc312964158"/>
      <w:bookmarkStart w:id="316" w:name="_Toc450201430"/>
      <w:bookmarkStart w:id="317" w:name="_Toc450638593"/>
      <w:bookmarkStart w:id="318" w:name="_Toc479255734"/>
      <w:bookmarkStart w:id="319" w:name="_Toc454100252"/>
      <w:bookmarkStart w:id="320" w:name="_Toc479763783"/>
      <w:bookmarkStart w:id="321" w:name="_Toc509413022"/>
      <w:r w:rsidRPr="0065554C">
        <w:t xml:space="preserve">Evaluación de las </w:t>
      </w:r>
      <w:r w:rsidR="001546C6" w:rsidRPr="0065554C">
        <w:t>S</w:t>
      </w:r>
      <w:r w:rsidRPr="0065554C">
        <w:t>olicitudes de Precalificación de Ofertas de Venta</w:t>
      </w:r>
      <w:bookmarkEnd w:id="312"/>
      <w:bookmarkEnd w:id="313"/>
      <w:bookmarkEnd w:id="314"/>
      <w:bookmarkEnd w:id="315"/>
      <w:bookmarkEnd w:id="316"/>
      <w:bookmarkEnd w:id="317"/>
      <w:bookmarkEnd w:id="318"/>
      <w:bookmarkEnd w:id="319"/>
      <w:bookmarkEnd w:id="320"/>
      <w:bookmarkEnd w:id="321"/>
    </w:p>
    <w:p w14:paraId="18B86CC0" w14:textId="77777777" w:rsidR="00160338" w:rsidRPr="0065554C" w:rsidRDefault="00160338" w:rsidP="005E311D">
      <w:pPr>
        <w:pStyle w:val="Numeral"/>
      </w:pPr>
      <w:r w:rsidRPr="0065554C">
        <w:t>Las solicitudes de precalificación de Ofertas de Venta se evaluarán conforme al procedimiento descrito en esta sección.</w:t>
      </w:r>
    </w:p>
    <w:p w14:paraId="7630CABA" w14:textId="77777777" w:rsidR="00160338" w:rsidRPr="0065554C" w:rsidRDefault="00160338" w:rsidP="005E311D">
      <w:pPr>
        <w:pStyle w:val="Numeral"/>
      </w:pPr>
      <w:r w:rsidRPr="0065554C">
        <w:t>El CENACE, dentro de un plazo de diez días hábiles contados a partir del día hábil siguiente a aquél en que</w:t>
      </w:r>
      <w:r w:rsidR="006F64D5" w:rsidRPr="0065554C">
        <w:t xml:space="preserve"> </w:t>
      </w:r>
      <w:r w:rsidRPr="0065554C">
        <w:t xml:space="preserve">haya recibido a través del Sitio la solicitud de precalificación de Oferta de Venta, evaluará la información y documentación presentada por el </w:t>
      </w:r>
      <w:r w:rsidR="00C465C6" w:rsidRPr="0065554C">
        <w:t>Licitante</w:t>
      </w:r>
      <w:r w:rsidRPr="0065554C">
        <w:t xml:space="preserve"> y le notificará a través del Sitio en cuál de los siguientes supuestos se ubica:</w:t>
      </w:r>
    </w:p>
    <w:p w14:paraId="48DE3EA0" w14:textId="77777777" w:rsidR="00160338" w:rsidRPr="0065554C" w:rsidRDefault="00160338" w:rsidP="005E311D">
      <w:pPr>
        <w:pStyle w:val="Inciso"/>
      </w:pPr>
      <w:r w:rsidRPr="0065554C">
        <w:t xml:space="preserve">La información y documentación presentada acredita que el </w:t>
      </w:r>
      <w:r w:rsidR="00C465C6" w:rsidRPr="0065554C">
        <w:t>Licitante</w:t>
      </w:r>
      <w:r w:rsidRPr="0065554C">
        <w:t xml:space="preserve"> cuenta con la suficiente capacidad legal, </w:t>
      </w:r>
      <w:r w:rsidR="00221768" w:rsidRPr="0065554C">
        <w:t xml:space="preserve">financiera, </w:t>
      </w:r>
      <w:r w:rsidRPr="0065554C">
        <w:t>técnica y de ejecución para cumplir con la Oferta de Venta que desea presentar en la Subasta.</w:t>
      </w:r>
    </w:p>
    <w:p w14:paraId="1115601D" w14:textId="77777777" w:rsidR="00160338" w:rsidRPr="0065554C" w:rsidRDefault="00160338" w:rsidP="005E311D">
      <w:pPr>
        <w:pStyle w:val="Inciso"/>
      </w:pPr>
      <w:r w:rsidRPr="0065554C">
        <w:t xml:space="preserve">La información y documentación presentada no acredita que el </w:t>
      </w:r>
      <w:r w:rsidR="00C465C6" w:rsidRPr="0065554C">
        <w:t>Licitante</w:t>
      </w:r>
      <w:r w:rsidRPr="0065554C">
        <w:t xml:space="preserve"> cuenta con la suficiente capacidad legal, </w:t>
      </w:r>
      <w:r w:rsidR="00221768" w:rsidRPr="0065554C">
        <w:t xml:space="preserve">financiera, </w:t>
      </w:r>
      <w:r w:rsidRPr="0065554C">
        <w:t xml:space="preserve">técnica </w:t>
      </w:r>
      <w:r w:rsidR="00221768" w:rsidRPr="0065554C">
        <w:t>o</w:t>
      </w:r>
      <w:r w:rsidRPr="0065554C">
        <w:t xml:space="preserve"> de ejecución para cumplir con la Oferta de Venta que desea presentar en la Subasta.</w:t>
      </w:r>
    </w:p>
    <w:p w14:paraId="7C14DFCB" w14:textId="77777777" w:rsidR="00160338" w:rsidRPr="0065554C" w:rsidRDefault="00160338" w:rsidP="005E311D">
      <w:pPr>
        <w:pStyle w:val="Numeral"/>
      </w:pPr>
      <w:r w:rsidRPr="0065554C">
        <w:t xml:space="preserve">Si la solicitud de precalificación de Oferta de Venta se encuentra en el supuesto previsto en el inciso (a) del numeral 5.4.2, el CENACE emitirá un Dictamen Favorable </w:t>
      </w:r>
      <w:r w:rsidR="00903C2A" w:rsidRPr="0065554C">
        <w:t>por cada Oferta de Venta, y notificará dicho dictamen al Licitante, mediante el Sitio,</w:t>
      </w:r>
      <w:r w:rsidRPr="0065554C">
        <w:t xml:space="preserve"> a efecto de que </w:t>
      </w:r>
      <w:r w:rsidR="00903C2A" w:rsidRPr="0065554C">
        <w:t>éste presente</w:t>
      </w:r>
      <w:r w:rsidRPr="0065554C">
        <w:t xml:space="preserve"> la o las Garantías de Seriedad respectivas</w:t>
      </w:r>
      <w:r w:rsidR="00903C2A" w:rsidRPr="0065554C">
        <w:t xml:space="preserve">, si </w:t>
      </w:r>
      <w:r w:rsidRPr="0065554C">
        <w:t xml:space="preserve">aún no </w:t>
      </w:r>
      <w:r w:rsidR="00903C2A" w:rsidRPr="0065554C">
        <w:t>lo ha hecho.</w:t>
      </w:r>
      <w:r w:rsidR="006F64D5" w:rsidRPr="0065554C">
        <w:t xml:space="preserve"> </w:t>
      </w:r>
      <w:r w:rsidR="00903C2A" w:rsidRPr="0065554C">
        <w:t xml:space="preserve"> </w:t>
      </w:r>
    </w:p>
    <w:p w14:paraId="47DA75D7" w14:textId="77777777" w:rsidR="00160338" w:rsidRPr="0065554C" w:rsidRDefault="00160338" w:rsidP="005E311D">
      <w:pPr>
        <w:pStyle w:val="Numeral"/>
      </w:pPr>
      <w:r w:rsidRPr="0065554C">
        <w:t xml:space="preserve">Si la solicitud de precalificación de Oferta de Venta se encuentra en el supuesto previsto en el inciso (b) del numeral 5.4.2, el CENACE emitirá una solicitud de información complementaria </w:t>
      </w:r>
      <w:r w:rsidR="00FB1622" w:rsidRPr="0065554C">
        <w:t>donde indique</w:t>
      </w:r>
      <w:r w:rsidR="00AF264C" w:rsidRPr="0065554C">
        <w:t xml:space="preserve"> </w:t>
      </w:r>
      <w:r w:rsidRPr="0065554C">
        <w:t xml:space="preserve">la capacidad o las capacidades que no hayan sido suficientemente acreditadas, lo que puede incluir la solicitud de traducciones de partes adicionales a las presentadas, e </w:t>
      </w:r>
      <w:r w:rsidR="00FB1622" w:rsidRPr="0065554C">
        <w:t>indicará</w:t>
      </w:r>
      <w:r w:rsidR="00AF264C" w:rsidRPr="0065554C">
        <w:t xml:space="preserve"> </w:t>
      </w:r>
      <w:r w:rsidR="00FB1622" w:rsidRPr="0065554C">
        <w:t>las</w:t>
      </w:r>
      <w:r w:rsidRPr="0065554C">
        <w:t xml:space="preserve"> razones de ello</w:t>
      </w:r>
      <w:r w:rsidR="00304FA1" w:rsidRPr="0065554C">
        <w:t>.</w:t>
      </w:r>
      <w:r w:rsidR="00FB1622" w:rsidRPr="0065554C">
        <w:t xml:space="preserve"> </w:t>
      </w:r>
    </w:p>
    <w:p w14:paraId="22E7A621" w14:textId="77777777" w:rsidR="00160338" w:rsidRPr="0065554C" w:rsidRDefault="00160338" w:rsidP="005E311D">
      <w:pPr>
        <w:pStyle w:val="Numeral"/>
      </w:pPr>
      <w:r w:rsidRPr="0065554C">
        <w:t xml:space="preserve">Si el CENACE emite una solicitud de información complementaria de conformidad con lo previsto en el numeral anterior, el </w:t>
      </w:r>
      <w:r w:rsidR="00F56126" w:rsidRPr="0065554C">
        <w:t xml:space="preserve">Licitante </w:t>
      </w:r>
      <w:r w:rsidRPr="0065554C">
        <w:t xml:space="preserve">contará con un plazo de cinco días hábiles </w:t>
      </w:r>
      <w:r w:rsidRPr="0065554C">
        <w:lastRenderedPageBreak/>
        <w:t>contado a partir del día hábil siguiente a aquél en que le haya sido notificada esa solicitud a través del Sitio para presentar la información complementaria.</w:t>
      </w:r>
    </w:p>
    <w:p w14:paraId="2BDCFE7B" w14:textId="77777777" w:rsidR="00160338" w:rsidRPr="0065554C" w:rsidRDefault="00160338" w:rsidP="005E311D">
      <w:pPr>
        <w:pStyle w:val="Numeral"/>
      </w:pPr>
      <w:r w:rsidRPr="0065554C">
        <w:t>El CENACE, en un plazo de diez días hábiles contados a partir del día hábil siguiente al vencimiento del plazo señalado en el numeral 5.4.5, evaluará</w:t>
      </w:r>
      <w:r w:rsidR="00FB1622" w:rsidRPr="0065554C">
        <w:t xml:space="preserve"> </w:t>
      </w:r>
      <w:r w:rsidRPr="0065554C">
        <w:t xml:space="preserve">la información complementaria que haya sido presentada por el </w:t>
      </w:r>
      <w:r w:rsidR="00C9068C" w:rsidRPr="0065554C">
        <w:t>Licitante</w:t>
      </w:r>
      <w:r w:rsidRPr="0065554C">
        <w:t xml:space="preserve"> y en</w:t>
      </w:r>
      <w:r w:rsidR="00C9068C" w:rsidRPr="0065554C">
        <w:t xml:space="preserve"> </w:t>
      </w:r>
      <w:r w:rsidRPr="0065554C">
        <w:t xml:space="preserve">el supuesto de que la misma permita acreditar que el </w:t>
      </w:r>
      <w:r w:rsidR="00C9068C" w:rsidRPr="0065554C">
        <w:t>Licitante</w:t>
      </w:r>
      <w:r w:rsidRPr="0065554C">
        <w:t xml:space="preserve"> cuenta con la suficiente capacidad legal, </w:t>
      </w:r>
      <w:r w:rsidR="00221768" w:rsidRPr="0065554C">
        <w:t xml:space="preserve">financiera, </w:t>
      </w:r>
      <w:r w:rsidRPr="0065554C">
        <w:t xml:space="preserve">técnica y de ejecución para cumplir con la Oferta de Venta que desea presentar en la Subasta, emitirá un Dictamen Favorable y lo notificará al </w:t>
      </w:r>
      <w:r w:rsidR="00C9068C" w:rsidRPr="0065554C">
        <w:t>Licitante</w:t>
      </w:r>
      <w:r w:rsidRPr="0065554C">
        <w:t xml:space="preserve"> a través del Sitio a efecto de que puedan presentarse la o las Garantías de Seriedad respectivas en caso de que aún no hayan sido presentadas.</w:t>
      </w:r>
    </w:p>
    <w:p w14:paraId="581B7AE4" w14:textId="77777777" w:rsidR="00192409" w:rsidRPr="0065554C" w:rsidRDefault="00903C2A" w:rsidP="005E311D">
      <w:pPr>
        <w:pStyle w:val="Numeral"/>
      </w:pPr>
      <w:r w:rsidRPr="0065554C">
        <w:t xml:space="preserve">Si el Licitante </w:t>
      </w:r>
      <w:r w:rsidR="00192409" w:rsidRPr="0065554C">
        <w:t xml:space="preserve">no </w:t>
      </w:r>
      <w:r w:rsidRPr="0065554C">
        <w:t xml:space="preserve">presenta la información complementaria </w:t>
      </w:r>
      <w:r w:rsidR="00160338" w:rsidRPr="0065554C">
        <w:t xml:space="preserve">dentro </w:t>
      </w:r>
      <w:r w:rsidRPr="0065554C">
        <w:t xml:space="preserve">del plazo señalado en el </w:t>
      </w:r>
      <w:r w:rsidR="00192409" w:rsidRPr="0065554C">
        <w:t>numeral 5.4.5 o si a pesar de haberla presentado dentro de ese plazo</w:t>
      </w:r>
      <w:r w:rsidR="005C0018" w:rsidRPr="0065554C">
        <w:t>,</w:t>
      </w:r>
      <w:r w:rsidR="00192409" w:rsidRPr="0065554C">
        <w:t xml:space="preserve"> la misma no permite acreditar que el Licitante cuenta con suficiente capacidad legal, </w:t>
      </w:r>
      <w:r w:rsidR="00221768" w:rsidRPr="0065554C">
        <w:t xml:space="preserve">financiera, </w:t>
      </w:r>
      <w:r w:rsidR="00192409" w:rsidRPr="0065554C">
        <w:t>técnica y de ejecución para cumplir con la Oferta de Venta que desea presentar en la Subasta</w:t>
      </w:r>
      <w:r w:rsidRPr="0065554C">
        <w:t xml:space="preserve">, el </w:t>
      </w:r>
      <w:r w:rsidR="00160338" w:rsidRPr="0065554C">
        <w:t xml:space="preserve">CENACE, en un plazo de diez días hábiles contados a partir del día hábil siguiente </w:t>
      </w:r>
      <w:r w:rsidR="004B2A6A" w:rsidRPr="0065554C">
        <w:t xml:space="preserve">al vencimiento del plazo señalado </w:t>
      </w:r>
      <w:r w:rsidR="00192409" w:rsidRPr="0065554C">
        <w:t xml:space="preserve"> en el numeral 5.4.5 </w:t>
      </w:r>
      <w:r w:rsidR="004B2A6A" w:rsidRPr="0065554C">
        <w:t>emitirá</w:t>
      </w:r>
      <w:r w:rsidR="00192409" w:rsidRPr="0065554C">
        <w:t xml:space="preserve"> un </w:t>
      </w:r>
      <w:r w:rsidRPr="0065554C">
        <w:t>Dictamen</w:t>
      </w:r>
      <w:r w:rsidR="00192409" w:rsidRPr="0065554C">
        <w:t xml:space="preserve"> </w:t>
      </w:r>
      <w:r w:rsidR="001117A0" w:rsidRPr="0065554C">
        <w:t>N</w:t>
      </w:r>
      <w:r w:rsidR="00192409" w:rsidRPr="0065554C">
        <w:t>o</w:t>
      </w:r>
      <w:r w:rsidRPr="0065554C">
        <w:t xml:space="preserve"> Favorable</w:t>
      </w:r>
      <w:r w:rsidR="00533812" w:rsidRPr="0065554C">
        <w:t xml:space="preserve"> </w:t>
      </w:r>
      <w:r w:rsidR="005C0018" w:rsidRPr="0065554C">
        <w:t xml:space="preserve">y </w:t>
      </w:r>
      <w:r w:rsidR="00533812" w:rsidRPr="0065554C">
        <w:t xml:space="preserve">lo </w:t>
      </w:r>
      <w:r w:rsidR="004B2A6A" w:rsidRPr="0065554C">
        <w:t>notificará</w:t>
      </w:r>
      <w:r w:rsidR="00832DAD" w:rsidRPr="0065554C">
        <w:t xml:space="preserve"> </w:t>
      </w:r>
      <w:r w:rsidR="00192409" w:rsidRPr="0065554C">
        <w:t>al Licitante a través del Sitio</w:t>
      </w:r>
      <w:r w:rsidR="00832DAD" w:rsidRPr="0065554C">
        <w:t xml:space="preserve">. </w:t>
      </w:r>
    </w:p>
    <w:p w14:paraId="31465E3C" w14:textId="77777777" w:rsidR="00160338" w:rsidRPr="0065554C" w:rsidRDefault="00160338" w:rsidP="005E311D">
      <w:pPr>
        <w:pStyle w:val="Numeral"/>
      </w:pPr>
      <w:r w:rsidRPr="0065554C">
        <w:t xml:space="preserve">Si un Licitante recibe un Dictamen No Favorable, contará con tres días hábiles a partir del día hábil siguiente a que reciba la notificación para solicitar al CENACE la reconsideración, conforme al procedimiento descrito en el capítulo </w:t>
      </w:r>
      <w:r w:rsidR="00AC14B5" w:rsidRPr="0065554C">
        <w:t>10</w:t>
      </w:r>
      <w:r w:rsidRPr="0065554C">
        <w:t xml:space="preserve">. </w:t>
      </w:r>
    </w:p>
    <w:p w14:paraId="739A02BA" w14:textId="77777777" w:rsidR="00160338" w:rsidRPr="0065554C" w:rsidRDefault="00160338" w:rsidP="005E311D">
      <w:pPr>
        <w:pStyle w:val="Numeral"/>
      </w:pPr>
      <w:r w:rsidRPr="0065554C">
        <w:t xml:space="preserve">Para obtener la Constancia de Precalificación respectiva, el </w:t>
      </w:r>
      <w:r w:rsidR="00903C2A" w:rsidRPr="0065554C">
        <w:t>Licitante</w:t>
      </w:r>
      <w:r w:rsidRPr="0065554C">
        <w:t xml:space="preserve"> deberá presentar la Garantía de Seriedad correspondiente dentro del plazo comprendido entre el momento en que presentó su solicitud de precalificación de Oferta de Venta y la fecha límite indicada en el Calendario de la Subasta</w:t>
      </w:r>
      <w:r w:rsidR="001117A0" w:rsidRPr="0065554C">
        <w:t>, en los términos que para tal efecto se establezcan en las Bases de Licitación.</w:t>
      </w:r>
      <w:r w:rsidRPr="0065554C">
        <w:t xml:space="preserve"> </w:t>
      </w:r>
    </w:p>
    <w:p w14:paraId="76679F17" w14:textId="77777777" w:rsidR="00160338" w:rsidRPr="0065554C" w:rsidRDefault="00160338" w:rsidP="00160338">
      <w:pPr>
        <w:pStyle w:val="Seccin"/>
      </w:pPr>
      <w:bookmarkStart w:id="322" w:name="_Toc435900714"/>
      <w:bookmarkStart w:id="323" w:name="_Toc436487871"/>
      <w:bookmarkStart w:id="324" w:name="_Toc436433775"/>
      <w:bookmarkStart w:id="325" w:name="_Toc450052189"/>
      <w:bookmarkStart w:id="326" w:name="_Toc312964159"/>
      <w:bookmarkStart w:id="327" w:name="_Toc450201431"/>
      <w:bookmarkStart w:id="328" w:name="_Toc450638594"/>
      <w:bookmarkStart w:id="329" w:name="_Toc479255735"/>
      <w:bookmarkStart w:id="330" w:name="_Toc454100253"/>
      <w:bookmarkStart w:id="331" w:name="_Toc479763784"/>
      <w:bookmarkStart w:id="332" w:name="_Toc509413023"/>
      <w:r w:rsidRPr="0065554C">
        <w:t>Garantía de Seriedad para las Ofertas de Venta</w:t>
      </w:r>
      <w:bookmarkEnd w:id="322"/>
      <w:bookmarkEnd w:id="323"/>
      <w:bookmarkEnd w:id="324"/>
      <w:bookmarkEnd w:id="325"/>
      <w:bookmarkEnd w:id="326"/>
      <w:bookmarkEnd w:id="327"/>
      <w:bookmarkEnd w:id="328"/>
      <w:bookmarkEnd w:id="329"/>
      <w:bookmarkEnd w:id="330"/>
      <w:bookmarkEnd w:id="331"/>
      <w:bookmarkEnd w:id="332"/>
    </w:p>
    <w:p w14:paraId="004F2993" w14:textId="77777777" w:rsidR="00016350" w:rsidRPr="0065554C" w:rsidRDefault="00016350" w:rsidP="00016350">
      <w:pPr>
        <w:pStyle w:val="Numeral"/>
      </w:pPr>
      <w:r w:rsidRPr="0065554C">
        <w:t xml:space="preserve">La Garantía de Seriedad deberá ser otorgada a través de Carta de Crédito Incondicional e irrevocable emitida en favor del CENACE necesariamente conforme al formato contenido en el </w:t>
      </w:r>
      <w:r w:rsidRPr="0065554C">
        <w:rPr>
          <w:b/>
        </w:rPr>
        <w:t>Anexo V.20</w:t>
      </w:r>
      <w:r w:rsidRPr="0065554C">
        <w:t xml:space="preserve"> </w:t>
      </w:r>
      <w:r w:rsidRPr="0065554C">
        <w:rPr>
          <w:lang w:val="es-MX"/>
        </w:rPr>
        <w:t xml:space="preserve">y ser expedidas por las instituciones bancarias </w:t>
      </w:r>
      <w:r w:rsidR="00A53B53" w:rsidRPr="0065554C">
        <w:rPr>
          <w:lang w:val="es-MX"/>
        </w:rPr>
        <w:t>indicadas en el numeral 5.5.3 (b)</w:t>
      </w:r>
      <w:r w:rsidRPr="0065554C">
        <w:rPr>
          <w:lang w:val="es-MX"/>
        </w:rPr>
        <w:t>.</w:t>
      </w:r>
      <w:r w:rsidRPr="0065554C">
        <w:rPr>
          <w:b/>
          <w:lang w:val="es-MX"/>
        </w:rPr>
        <w:t xml:space="preserve"> </w:t>
      </w:r>
      <w:r w:rsidRPr="0065554C">
        <w:rPr>
          <w:lang w:val="es-MX"/>
        </w:rPr>
        <w:t xml:space="preserve">Para </w:t>
      </w:r>
      <w:r w:rsidR="00D311D9" w:rsidRPr="0065554C">
        <w:rPr>
          <w:lang w:val="es-MX"/>
        </w:rPr>
        <w:t xml:space="preserve">aquellos </w:t>
      </w:r>
      <w:r w:rsidRPr="0065554C">
        <w:rPr>
          <w:lang w:val="es-MX"/>
        </w:rPr>
        <w:t xml:space="preserve">casos en los que </w:t>
      </w:r>
      <w:r w:rsidR="00D311D9" w:rsidRPr="0065554C">
        <w:rPr>
          <w:lang w:val="es-MX"/>
        </w:rPr>
        <w:t xml:space="preserve">los </w:t>
      </w:r>
      <w:r w:rsidRPr="0065554C">
        <w:rPr>
          <w:lang w:val="es-MX"/>
        </w:rPr>
        <w:t>licitantes tengan relación de negocios con instituciones bancarias en el extranjero</w:t>
      </w:r>
      <w:r w:rsidR="00A53B53" w:rsidRPr="0065554C">
        <w:rPr>
          <w:lang w:val="es-MX"/>
        </w:rPr>
        <w:t>,</w:t>
      </w:r>
      <w:r w:rsidRPr="0065554C">
        <w:rPr>
          <w:lang w:val="es-MX"/>
        </w:rPr>
        <w:t xml:space="preserve"> deberán solicitar a dichas instituciones que utilicen sus bancos corresponsables en México para la emisión de cartas de crédito, ya que solamente se aceptarán las cartas de crédito que hayan sido emitidas por bancos domiciliados en la República Mexicana.</w:t>
      </w:r>
    </w:p>
    <w:p w14:paraId="77FA9563" w14:textId="77777777" w:rsidR="00703BCF" w:rsidRPr="0065554C" w:rsidRDefault="00016350" w:rsidP="00703BCF">
      <w:pPr>
        <w:pStyle w:val="Numeral"/>
        <w:numPr>
          <w:ilvl w:val="0"/>
          <w:numId w:val="0"/>
        </w:numPr>
        <w:ind w:left="1844"/>
      </w:pPr>
      <w:r w:rsidRPr="0065554C">
        <w:rPr>
          <w:lang w:val="es-MX"/>
        </w:rPr>
        <w:t xml:space="preserve">Dentro del plazo establecido y a más tardar en la fecha límite señalada para ello en el Calendario de la Subasta, las instituciones financieras que emitan las cartas de crédito remitirán al CENACE los instrumentos originales que conforman la Garantía de Seriedad. </w:t>
      </w:r>
      <w:r w:rsidR="00AD7AD2" w:rsidRPr="0065554C">
        <w:t xml:space="preserve">Para efectos de la presentación ante el CENACE de los instrumentos originales que integran la Garantía de Seriedad, las instituciones financieras podrán optar por remitirla de manera </w:t>
      </w:r>
      <w:r w:rsidR="00AD7AD2" w:rsidRPr="0065554C">
        <w:lastRenderedPageBreak/>
        <w:t>directa haciendo uso de servicios de mensajería, o bien, mediante la intervención directa de los Licitantes. En ambos casos, deberá observarse el plazo y horarios previstos en las presentes bases para la presentación de la Garantía de Seriedad, los cuales son improrrogábles.</w:t>
      </w:r>
    </w:p>
    <w:p w14:paraId="6341DE84" w14:textId="77777777" w:rsidR="00016350" w:rsidRPr="0065554C" w:rsidRDefault="00016350" w:rsidP="00016350">
      <w:pPr>
        <w:pStyle w:val="Numeral"/>
        <w:numPr>
          <w:ilvl w:val="0"/>
          <w:numId w:val="0"/>
        </w:numPr>
        <w:ind w:left="1844"/>
      </w:pPr>
      <w:r w:rsidRPr="0065554C">
        <w:t xml:space="preserve">La Garantía de Seriedad original deberá cumplir con lo previsto en este numeral y el </w:t>
      </w:r>
      <w:r w:rsidRPr="0065554C">
        <w:rPr>
          <w:b/>
        </w:rPr>
        <w:t>Anexo V.20</w:t>
      </w:r>
      <w:r w:rsidRPr="0065554C">
        <w:rPr>
          <w:b/>
          <w:lang w:val="es-MX"/>
        </w:rPr>
        <w:t xml:space="preserve"> </w:t>
      </w:r>
      <w:r w:rsidRPr="0065554C">
        <w:rPr>
          <w:lang w:val="es-MX"/>
        </w:rPr>
        <w:t xml:space="preserve">respetando íntegramente su contenido, paginado, tipografía, uso de mayúsculas y minúsculas, los signos de puntuación, interlineado, así como los que se precisen en las capacitaciones respectivas, en el entendido que es inadmisible cualquier tipo de modificación u omisión en el contenido del </w:t>
      </w:r>
      <w:r w:rsidRPr="0065554C">
        <w:rPr>
          <w:b/>
          <w:lang w:val="es-MX"/>
        </w:rPr>
        <w:t>Anexo V.20</w:t>
      </w:r>
      <w:r w:rsidRPr="0065554C">
        <w:rPr>
          <w:lang w:val="es-MX"/>
        </w:rPr>
        <w:t>.</w:t>
      </w:r>
      <w:r w:rsidRPr="0065554C">
        <w:rPr>
          <w:b/>
          <w:lang w:val="es-MX"/>
        </w:rPr>
        <w:t xml:space="preserve"> </w:t>
      </w:r>
      <w:r w:rsidRPr="0065554C">
        <w:rPr>
          <w:lang w:val="es-MX"/>
        </w:rPr>
        <w:t xml:space="preserve">Asimismo, </w:t>
      </w:r>
      <w:r w:rsidR="00703BCF" w:rsidRPr="0065554C">
        <w:rPr>
          <w:lang w:val="es-MX"/>
        </w:rPr>
        <w:t xml:space="preserve">cada instrumento que conforma </w:t>
      </w:r>
      <w:r w:rsidRPr="0065554C">
        <w:rPr>
          <w:lang w:val="es-MX"/>
        </w:rPr>
        <w:t xml:space="preserve">la Garantía de Seriedad deberá ser presentada junto con el escrito denominado “Aceptación de Términos para la Impresión y Envío de Carta de Crédito”, el cual deberá estar elaborado en </w:t>
      </w:r>
      <w:r w:rsidR="00AD7AD2" w:rsidRPr="0065554C">
        <w:rPr>
          <w:lang w:val="es-MX"/>
        </w:rPr>
        <w:t>papel membretado del Licitante.</w:t>
      </w:r>
    </w:p>
    <w:p w14:paraId="7102573A" w14:textId="77777777" w:rsidR="00016350" w:rsidRPr="0065554C" w:rsidRDefault="000901CD" w:rsidP="00322EA6">
      <w:pPr>
        <w:pStyle w:val="Numeral"/>
        <w:numPr>
          <w:ilvl w:val="0"/>
          <w:numId w:val="0"/>
        </w:numPr>
        <w:ind w:left="1844"/>
      </w:pPr>
      <w:r w:rsidRPr="0065554C">
        <w:t>Para que el Licitante obtenga una Constancia de Precalificación de Oferta de Venta, deberán instruir a las Instituciones Financieras que emitirán la o las Cartas de Crédito que integrarán su Garantía de Seriedad</w:t>
      </w:r>
      <w:r w:rsidR="00A53B53" w:rsidRPr="0065554C">
        <w:t>,</w:t>
      </w:r>
      <w:r w:rsidRPr="0065554C">
        <w:t xml:space="preserve"> para que dentro del plazo establecido y más tardar en la fecha límite señalada para ello en el Calendario de la Subasta</w:t>
      </w:r>
      <w:r w:rsidR="00A53B53" w:rsidRPr="0065554C">
        <w:t>,</w:t>
      </w:r>
      <w:r w:rsidRPr="0065554C">
        <w:t xml:space="preserve"> remitan al CENACE los instrumentos originales que conforman la Garantía de Seriedad. </w:t>
      </w:r>
    </w:p>
    <w:p w14:paraId="01D92DC8" w14:textId="77777777" w:rsidR="0056307B" w:rsidRPr="0065554C" w:rsidRDefault="000901CD" w:rsidP="00322EA6">
      <w:pPr>
        <w:pStyle w:val="Numeral"/>
        <w:numPr>
          <w:ilvl w:val="0"/>
          <w:numId w:val="0"/>
        </w:numPr>
        <w:ind w:left="1844"/>
      </w:pPr>
      <w:r w:rsidRPr="0065554C">
        <w:t xml:space="preserve">Dicha Garantía de Seriedad original deberá cumplir con lo previsto en los numerales 5.6.1(h), 5.6.1(i) y 5.6.1(j) del Manual de Subastas de Largo Plazo, así como </w:t>
      </w:r>
      <w:r w:rsidR="00A53B53" w:rsidRPr="0065554C">
        <w:t xml:space="preserve">lo dispuesto </w:t>
      </w:r>
      <w:r w:rsidRPr="0065554C">
        <w:t xml:space="preserve">en este numeral y en el </w:t>
      </w:r>
      <w:r w:rsidRPr="0065554C">
        <w:rPr>
          <w:b/>
        </w:rPr>
        <w:t>Anexo V.2</w:t>
      </w:r>
      <w:r w:rsidR="001117A0" w:rsidRPr="0065554C">
        <w:rPr>
          <w:b/>
        </w:rPr>
        <w:t>0</w:t>
      </w:r>
      <w:r w:rsidRPr="0065554C">
        <w:t xml:space="preserve">. </w:t>
      </w:r>
    </w:p>
    <w:p w14:paraId="03BDFFBE" w14:textId="77777777" w:rsidR="000901CD" w:rsidRPr="0065554C" w:rsidRDefault="00D76F0A" w:rsidP="0056307B">
      <w:pPr>
        <w:pStyle w:val="Numeral"/>
        <w:numPr>
          <w:ilvl w:val="0"/>
          <w:numId w:val="0"/>
        </w:numPr>
        <w:ind w:left="1844"/>
      </w:pPr>
      <w:r w:rsidRPr="0065554C">
        <w:t xml:space="preserve">La Garantía de Seriedad </w:t>
      </w:r>
      <w:r w:rsidR="0056307B" w:rsidRPr="0065554C">
        <w:t xml:space="preserve">podrá exhibirse en uno o varios instrumentos de una misma o distintas instituciones de crédito integrantes del Sistema Bancario Mexicano que estén legalmente facultadas para emitir Cartas de Crédito de acuerdo a la Ley de Instituciones de Crédito, siempre que se presenten conforme al modelo previsto en el </w:t>
      </w:r>
      <w:r w:rsidR="0056307B" w:rsidRPr="0065554C">
        <w:rPr>
          <w:b/>
        </w:rPr>
        <w:t>Anexo V.20</w:t>
      </w:r>
      <w:r w:rsidR="0056307B" w:rsidRPr="0065554C">
        <w:t>. El original de dicha Garantía de Seriedad deberá entregarse físicamente en un sobre dirigido al Ing. Jesús Ávila Camarena junto con el escrito denominado “Aceptación de Términos para la Impresión y Envío de Carta de Crédito”, a más tardar en la fecha señalada en el Calendario de la Subasta para tal efecto, en el domicilio ubicado en Boulevard Adolfo López Mateos No. 2157, piso 11, Colonia Los Alpes, Delegación Álvaro Obregón, C.P. 01010, Ciudad de México, de lunes a viernes, en un horario de 9:00 a 15:00 horas.</w:t>
      </w:r>
      <w:r w:rsidRPr="0065554C">
        <w:t xml:space="preserve"> </w:t>
      </w:r>
    </w:p>
    <w:p w14:paraId="2B08C457" w14:textId="77777777" w:rsidR="0056307B" w:rsidRPr="0065554C" w:rsidRDefault="00D76F0A" w:rsidP="00D57637">
      <w:pPr>
        <w:pStyle w:val="Numeral"/>
      </w:pPr>
      <w:r w:rsidRPr="0065554C">
        <w:t xml:space="preserve">Si la Garantía de Seriedad que respalda las Ofertas de Venta </w:t>
      </w:r>
      <w:r w:rsidR="0056307B" w:rsidRPr="0065554C">
        <w:t xml:space="preserve">no cumple con los requisitos de forma y/o con el monto mínimo previstos en las Bases de Licitación, y sí y solo si fue presentada al CENACE con al menos </w:t>
      </w:r>
      <w:r w:rsidR="00893E32" w:rsidRPr="0065554C">
        <w:t xml:space="preserve"> cinco</w:t>
      </w:r>
      <w:r w:rsidR="0056307B" w:rsidRPr="0065554C">
        <w:t xml:space="preserve"> días hábiles de anticipación a la fecha límite para presentar Garantías de Seriedad señalada en el Calendario de la Subasta, el CENACE lo hará del conocimiento del </w:t>
      </w:r>
      <w:r w:rsidR="00A53B53" w:rsidRPr="0065554C">
        <w:t>L</w:t>
      </w:r>
      <w:r w:rsidR="0056307B" w:rsidRPr="0065554C">
        <w:t xml:space="preserve">icitante y de la institución de crédito que haya emitido la o las cartas de crédito que actualicen este supuesto, dentro de los </w:t>
      </w:r>
      <w:r w:rsidR="00893E32" w:rsidRPr="0065554C">
        <w:t>tres</w:t>
      </w:r>
      <w:r w:rsidR="0056307B" w:rsidRPr="0065554C">
        <w:t xml:space="preserve"> días hábiles siguientes para que se presenten de nueva cuenta los instrumentos que integran la Garantía de Seriedad, plazo que es independiente del tiempo que requiera el Banco Emisor para llevar a cabo las modificaciones que corresponda.</w:t>
      </w:r>
    </w:p>
    <w:p w14:paraId="0A60FD70" w14:textId="77777777" w:rsidR="0056307B" w:rsidRPr="0065554C" w:rsidRDefault="0056307B" w:rsidP="0056307B">
      <w:pPr>
        <w:pStyle w:val="Numeral"/>
        <w:numPr>
          <w:ilvl w:val="0"/>
          <w:numId w:val="0"/>
        </w:numPr>
        <w:ind w:left="1844"/>
      </w:pPr>
      <w:r w:rsidRPr="0065554C">
        <w:lastRenderedPageBreak/>
        <w:t>Las comisiones y gastos que pudieran ser generados por la reimpresión de la carta de crédito, serán por cuenta de su ordenante, y en ningún caso serán cargados por el Banco Emisor al CENACE en su calidad de beneficiario.</w:t>
      </w:r>
    </w:p>
    <w:p w14:paraId="45E772FD" w14:textId="77777777" w:rsidR="00D76F0A" w:rsidRPr="0065554C" w:rsidRDefault="0056307B" w:rsidP="0056307B">
      <w:pPr>
        <w:pStyle w:val="Numeral"/>
        <w:numPr>
          <w:ilvl w:val="0"/>
          <w:numId w:val="0"/>
        </w:numPr>
        <w:ind w:left="1844"/>
      </w:pPr>
      <w:r w:rsidRPr="0065554C">
        <w:t xml:space="preserve">Dentro de los </w:t>
      </w:r>
      <w:r w:rsidR="00AD7AD2" w:rsidRPr="0065554C">
        <w:t>diez días</w:t>
      </w:r>
      <w:r w:rsidRPr="0065554C">
        <w:t xml:space="preserve"> hábiles posteriores a la fecha de emisión de Constancias de Precalificación, el CENACE remitirá al Banco Emisor las impresiones de las cartas de crédito que no cumplieron con los requisitos de forma y/o con el monto mínimo previsto en las Bases de Licitación que fueron reimpresas en los términos descritos en los primeros dos párrafos del presente numeral.</w:t>
      </w:r>
      <w:r w:rsidR="00D76F0A" w:rsidRPr="0065554C">
        <w:t xml:space="preserve"> </w:t>
      </w:r>
    </w:p>
    <w:p w14:paraId="5B332611" w14:textId="77777777" w:rsidR="00160338" w:rsidRPr="0065554C" w:rsidRDefault="00160338" w:rsidP="005E311D">
      <w:pPr>
        <w:pStyle w:val="Numeral"/>
      </w:pPr>
      <w:r w:rsidRPr="0065554C">
        <w:t xml:space="preserve">La Garantía de Seriedad deberá tener las siguientes características: </w:t>
      </w:r>
    </w:p>
    <w:p w14:paraId="54484DB7" w14:textId="77777777" w:rsidR="00263A14" w:rsidRPr="0065554C" w:rsidRDefault="00160338" w:rsidP="005E311D">
      <w:pPr>
        <w:pStyle w:val="Inciso"/>
      </w:pPr>
      <w:r w:rsidRPr="0065554C">
        <w:t xml:space="preserve">Ser otorgada a través de carta de crédito incondicional e irrevocable </w:t>
      </w:r>
      <w:r w:rsidRPr="0065554C">
        <w:rPr>
          <w:i/>
        </w:rPr>
        <w:t>standby,</w:t>
      </w:r>
      <w:r w:rsidRPr="0065554C">
        <w:t xml:space="preserve"> emitida en favor del CENACE </w:t>
      </w:r>
      <w:r w:rsidR="006C3856" w:rsidRPr="0065554C">
        <w:t>respetando en su totalidad el modelo previsto en el</w:t>
      </w:r>
      <w:r w:rsidR="006C3856" w:rsidRPr="0065554C" w:rsidDel="00990486">
        <w:t xml:space="preserve"> </w:t>
      </w:r>
      <w:r w:rsidR="006C3856" w:rsidRPr="0065554C">
        <w:rPr>
          <w:b/>
        </w:rPr>
        <w:t>Anexo V.</w:t>
      </w:r>
      <w:r w:rsidR="006C3856" w:rsidRPr="0065554C">
        <w:rPr>
          <w:b/>
          <w:lang w:val="es-MX"/>
        </w:rPr>
        <w:t>20</w:t>
      </w:r>
      <w:r w:rsidR="006C3856" w:rsidRPr="0065554C">
        <w:t>.</w:t>
      </w:r>
      <w:r w:rsidR="00B65456" w:rsidRPr="0065554C">
        <w:t xml:space="preserve"> </w:t>
      </w:r>
    </w:p>
    <w:p w14:paraId="74DA42C3" w14:textId="77777777" w:rsidR="00160338" w:rsidRPr="0065554C" w:rsidRDefault="00160338" w:rsidP="005E311D">
      <w:pPr>
        <w:pStyle w:val="Inciso"/>
      </w:pPr>
      <w:r w:rsidRPr="0065554C">
        <w:t xml:space="preserve">Haber </w:t>
      </w:r>
      <w:r w:rsidR="006C3856" w:rsidRPr="0065554C">
        <w:t xml:space="preserve">sido emitida por una institución de crédito integrante del Sistema Bancario Mexicano que esté legalmente facultada para emitir Cartas de Crédito de acuerdo a la Ley de Instituciones de Crédito, mismas que podrán ser consultadas en el siguiente enlace: </w:t>
      </w:r>
      <w:hyperlink r:id="rId19" w:history="1">
        <w:r w:rsidR="006C3856" w:rsidRPr="0065554C">
          <w:rPr>
            <w:rStyle w:val="Hipervnculo"/>
            <w:color w:val="auto"/>
          </w:rPr>
          <w:t>http://www.cenace.gob.mx/Paginas/Publicas/MercadoOperacion/Garantias.aspx</w:t>
        </w:r>
      </w:hyperlink>
      <w:r w:rsidRPr="0065554C">
        <w:t>.</w:t>
      </w:r>
    </w:p>
    <w:p w14:paraId="74403882" w14:textId="77777777" w:rsidR="00160338" w:rsidRPr="0065554C" w:rsidRDefault="00160338" w:rsidP="005E311D">
      <w:pPr>
        <w:pStyle w:val="Inciso"/>
      </w:pPr>
      <w:r w:rsidRPr="0065554C">
        <w:t xml:space="preserve">Podrá ser presentada en Pesos o en Dólares. En este último caso, para determinar su monto en Pesos se utilizará el tipo de cambio publicado por el Banco de México en el Diario Oficial de la Federación cinco días hábiles antes a la fecha de presentación de dicha Garantía ante el CENACE. </w:t>
      </w:r>
    </w:p>
    <w:p w14:paraId="5EC4D53A" w14:textId="77777777" w:rsidR="00160338" w:rsidRPr="0065554C" w:rsidRDefault="00160338" w:rsidP="005E311D">
      <w:pPr>
        <w:pStyle w:val="Inciso"/>
      </w:pPr>
      <w:r w:rsidRPr="0065554C">
        <w:t>La razón o denominación social del Licitante cuyas obligaciones se garantizan deberá ser idéntica a la que consta en la documentación legal presentada como Licitante en el Sitio. En caso de tratarse de un Consorcio, la garantía deberá hacer mención de cada uno de los miembros del Consorcio, y de no ser posible, bastará con que se refiera al menos a uno de ellos, en virtud de que éstos asumen una responsabilidad solidaria dentro de la Subasta.</w:t>
      </w:r>
    </w:p>
    <w:p w14:paraId="4034F19B" w14:textId="77777777" w:rsidR="00160338" w:rsidRPr="0065554C" w:rsidRDefault="00160338" w:rsidP="005E311D">
      <w:pPr>
        <w:pStyle w:val="Inciso"/>
      </w:pPr>
      <w:r w:rsidRPr="0065554C">
        <w:t>La fecha de vencimiento de la carta de crédito que conforma la Garantía de Seriedad deberá ser cuando menos un mes posterior a la fecha que el Calendario de la Subasta señale como fecha límite para la firma del Contrato.</w:t>
      </w:r>
    </w:p>
    <w:p w14:paraId="4A25917D" w14:textId="77777777" w:rsidR="00160338" w:rsidRPr="0065554C" w:rsidRDefault="00160338" w:rsidP="005E311D">
      <w:pPr>
        <w:pStyle w:val="Numeral"/>
      </w:pPr>
      <w:r w:rsidRPr="0065554C">
        <w:t>El monto mínimo de la Garantía de Seriedad será calculado por cada Licitante conforme a lo siguiente:</w:t>
      </w:r>
    </w:p>
    <w:p w14:paraId="1E4B3B82" w14:textId="77777777" w:rsidR="00160338" w:rsidRPr="0065554C" w:rsidRDefault="00160338" w:rsidP="005E311D">
      <w:pPr>
        <w:pStyle w:val="Inciso"/>
      </w:pPr>
      <w:r w:rsidRPr="0065554C">
        <w:t>300,000 (trescientas mil) UDIs, sin importar el número de Ofertas de Venta que pretenda presentar, más</w:t>
      </w:r>
    </w:p>
    <w:p w14:paraId="4736AE90" w14:textId="77777777" w:rsidR="00160338" w:rsidRPr="0065554C" w:rsidRDefault="00160338" w:rsidP="005E311D">
      <w:pPr>
        <w:pStyle w:val="Inciso"/>
      </w:pPr>
      <w:r w:rsidRPr="0065554C">
        <w:t>65,000 (sesenta y cinco mil) UDIs por MW de Potencia que pretenda ofrecer en la Subasta, en un año, más</w:t>
      </w:r>
    </w:p>
    <w:p w14:paraId="17D396F8" w14:textId="77777777" w:rsidR="00160338" w:rsidRPr="0065554C" w:rsidRDefault="00160338" w:rsidP="005E311D">
      <w:pPr>
        <w:pStyle w:val="Inciso"/>
      </w:pPr>
      <w:r w:rsidRPr="0065554C">
        <w:t xml:space="preserve">30 (treinta) UDIs por cada MWh de Energía Eléctrica Acumulable que pretenda ofrecer en la Subasta, en un año, más </w:t>
      </w:r>
    </w:p>
    <w:p w14:paraId="2B53549A" w14:textId="77777777" w:rsidR="00160338" w:rsidRPr="0065554C" w:rsidRDefault="00160338" w:rsidP="005E311D">
      <w:pPr>
        <w:pStyle w:val="Inciso"/>
      </w:pPr>
      <w:r w:rsidRPr="0065554C">
        <w:t>15 (quince) UDIs por cada CEL que pretenda ofrecer en la Subasta, en un año.</w:t>
      </w:r>
    </w:p>
    <w:p w14:paraId="36E16DBD" w14:textId="77777777" w:rsidR="00160338" w:rsidRPr="0065554C" w:rsidRDefault="00160338" w:rsidP="005E311D">
      <w:pPr>
        <w:pStyle w:val="Texto2"/>
      </w:pPr>
      <w:r w:rsidRPr="0065554C">
        <w:lastRenderedPageBreak/>
        <w:t>Lo señalado en los incisos (b), (c) y (d) se refiere a las cantidades a ofrecer en un año.</w:t>
      </w:r>
    </w:p>
    <w:tbl>
      <w:tblPr>
        <w:tblStyle w:val="Tablaconcuadrcula"/>
        <w:tblW w:w="0" w:type="auto"/>
        <w:tblInd w:w="846" w:type="dxa"/>
        <w:tblLook w:val="04A0" w:firstRow="1" w:lastRow="0" w:firstColumn="1" w:lastColumn="0" w:noHBand="0" w:noVBand="1"/>
      </w:tblPr>
      <w:tblGrid>
        <w:gridCol w:w="9116"/>
      </w:tblGrid>
      <w:tr w:rsidR="0065554C" w:rsidRPr="0065554C" w14:paraId="57687739" w14:textId="77777777" w:rsidTr="00B300B6">
        <w:tc>
          <w:tcPr>
            <w:tcW w:w="9116" w:type="dxa"/>
            <w:shd w:val="clear" w:color="auto" w:fill="DDD9C3" w:themeFill="background2" w:themeFillShade="E6"/>
          </w:tcPr>
          <w:p w14:paraId="013BC4AE" w14:textId="77777777" w:rsidR="00160338" w:rsidRPr="0065554C" w:rsidRDefault="00160338" w:rsidP="002B0C6C">
            <w:pPr>
              <w:pStyle w:val="Ejemplo"/>
              <w:rPr>
                <w:szCs w:val="20"/>
              </w:rPr>
            </w:pPr>
            <w:r w:rsidRPr="0065554C">
              <w:rPr>
                <w:szCs w:val="20"/>
              </w:rPr>
              <w:t>Ejemplo:</w:t>
            </w:r>
          </w:p>
          <w:p w14:paraId="6CF4F298" w14:textId="77777777" w:rsidR="00160338" w:rsidRPr="0065554C" w:rsidRDefault="00160338" w:rsidP="00A82589">
            <w:pPr>
              <w:pStyle w:val="Texto2"/>
              <w:ind w:left="34"/>
            </w:pPr>
            <w:r w:rsidRPr="0065554C">
              <w:t>Un Licitante ofrece un paquete que contiene, para cada año, 80 MW de Potencia, 270,000 MWh de Energía Eléctrica Acumulable, y 270,000 CEL.</w:t>
            </w:r>
          </w:p>
          <w:p w14:paraId="0C0B9195" w14:textId="77777777" w:rsidR="00160338" w:rsidRPr="0065554C" w:rsidRDefault="00160338" w:rsidP="00A82589">
            <w:pPr>
              <w:pStyle w:val="Texto2"/>
              <w:ind w:left="34"/>
            </w:pPr>
            <w:r w:rsidRPr="0065554C">
              <w:t xml:space="preserve">El monto de su garantía de seriedad será el siguiente: </w:t>
            </w:r>
          </w:p>
          <w:p w14:paraId="32DCB069" w14:textId="77777777" w:rsidR="00160338" w:rsidRPr="0065554C" w:rsidRDefault="00160338" w:rsidP="00A82589">
            <w:pPr>
              <w:pStyle w:val="Texto2"/>
              <w:ind w:left="34"/>
            </w:pPr>
            <w:r w:rsidRPr="0065554C">
              <w:t>300,000 + (65,000 x 80) + (30 x 270,000) + (15 x 270,000) = 17’650,000 UDIs</w:t>
            </w:r>
          </w:p>
        </w:tc>
      </w:tr>
    </w:tbl>
    <w:p w14:paraId="5DB29FB2" w14:textId="77777777" w:rsidR="00160338" w:rsidRPr="0065554C" w:rsidRDefault="00160338" w:rsidP="005E311D">
      <w:pPr>
        <w:pStyle w:val="Texto2"/>
      </w:pPr>
      <w:r w:rsidRPr="0065554C">
        <w:t>Este monto mínimo pueda reducirse en el supuesto establecido en el numeral 5.5.</w:t>
      </w:r>
      <w:r w:rsidR="00493B27" w:rsidRPr="0065554C">
        <w:t>6</w:t>
      </w:r>
      <w:r w:rsidRPr="0065554C">
        <w:t xml:space="preserve"> de estas Bases de Licitación.</w:t>
      </w:r>
    </w:p>
    <w:p w14:paraId="28A54F46" w14:textId="77777777" w:rsidR="00160338" w:rsidRPr="0065554C" w:rsidRDefault="00160338" w:rsidP="005E311D">
      <w:pPr>
        <w:pStyle w:val="Numeral"/>
      </w:pPr>
      <w:r w:rsidRPr="0065554C">
        <w:t>Las cantidades anteriores se calcularán tomando en cuenta lo siguiente:</w:t>
      </w:r>
    </w:p>
    <w:p w14:paraId="68DF0193" w14:textId="77777777" w:rsidR="00160338" w:rsidRPr="0065554C" w:rsidRDefault="00160338" w:rsidP="005E311D">
      <w:pPr>
        <w:pStyle w:val="Inciso"/>
      </w:pPr>
      <w:r w:rsidRPr="0065554C">
        <w:t>Para Ofertas de Venta mutuamente excluyentes, el monto mínimo de la Garantía de Seriedad deberá calcularse con base en la Oferta de Venta más alta en términos del valor total a ser garantizado, conforme a lo previsto en el numeral anterior, y</w:t>
      </w:r>
    </w:p>
    <w:p w14:paraId="4E4C59BD" w14:textId="77777777" w:rsidR="00160338" w:rsidRPr="0065554C" w:rsidRDefault="00160338" w:rsidP="005E311D">
      <w:pPr>
        <w:pStyle w:val="Inciso"/>
      </w:pPr>
      <w:r w:rsidRPr="0065554C">
        <w:t>Para Ofertas de Venta condicionadas, o combinaciones de Ofertas de Venta condicionadas y mutuamente excluyentes, el monto mínimo de la Garantía de Seriedad deberá calcularse con base en la combinación de Ofertas de Venta más alta en términos del valor total a ser garantizado, conforme a lo previsto en el numeral anterior.</w:t>
      </w:r>
    </w:p>
    <w:p w14:paraId="621B92BB" w14:textId="77777777" w:rsidR="00230CCE" w:rsidRPr="0065554C" w:rsidRDefault="00230CCE" w:rsidP="00230CCE">
      <w:pPr>
        <w:pStyle w:val="Numeral"/>
      </w:pPr>
      <w:r w:rsidRPr="0065554C">
        <w:t>Si previo a la entrega de la Garantía de Seriedad, un Licitante otorgó al CENACE Garantías Financieras para respaldar las obligaciones asociadas al proceso de interconexión de las Centrales Eléctricas incluidas en la o las respectivas Ofertas de Venta, el monto mínimo de la Garantía de Seriedad podrá ser reducido en el mismo monto de la Garantía Financiera, sin que tal reducción pueda exceder del 50% del monto mínimo de la Garantía de Seriedad calculado conforme al numeral 5.5.4 de manera proporciona</w:t>
      </w:r>
      <w:r w:rsidR="00E154AE" w:rsidRPr="0065554C">
        <w:t>l</w:t>
      </w:r>
      <w:r w:rsidRPr="0065554C">
        <w:t xml:space="preserve"> para las </w:t>
      </w:r>
      <w:r w:rsidR="00E154AE" w:rsidRPr="0065554C">
        <w:t>O</w:t>
      </w:r>
      <w:r w:rsidRPr="0065554C">
        <w:t xml:space="preserve">fertas de Venta asociadas a las Centrales Eléctricas. </w:t>
      </w:r>
    </w:p>
    <w:p w14:paraId="56D8FF6D" w14:textId="77777777" w:rsidR="00B73C98" w:rsidRPr="0065554C" w:rsidRDefault="00230CCE" w:rsidP="004E1183">
      <w:pPr>
        <w:pStyle w:val="Numeral"/>
        <w:numPr>
          <w:ilvl w:val="0"/>
          <w:numId w:val="0"/>
        </w:numPr>
        <w:ind w:left="1844"/>
      </w:pPr>
      <w:r w:rsidRPr="0065554C">
        <w:t xml:space="preserve">Para efectos de lo anterior, al menos </w:t>
      </w:r>
      <w:r w:rsidR="00893E32" w:rsidRPr="0065554C">
        <w:t>diez</w:t>
      </w:r>
      <w:r w:rsidRPr="0065554C">
        <w:t xml:space="preserve"> días hábiles antes de la fecha límite para la presentación de la Garantía de Seriedad correspondiente a la Subasta, los Licitantes deberán solicitar dicha reducción al CENACE, mediante la presentación del formato contenido en el </w:t>
      </w:r>
      <w:r w:rsidRPr="0065554C">
        <w:rPr>
          <w:b/>
        </w:rPr>
        <w:t>Anexo V.2</w:t>
      </w:r>
      <w:r w:rsidR="001117A0" w:rsidRPr="0065554C">
        <w:rPr>
          <w:b/>
        </w:rPr>
        <w:t>1</w:t>
      </w:r>
      <w:r w:rsidRPr="0065554C">
        <w:t xml:space="preserve">, al cual se le deberá adjuntar comprobante de recepción de las garantías asociadas al proceso de interconexión de las Centrales Eléctricas incluidas en la o las respectivas Ofertas de Venta </w:t>
      </w:r>
      <w:bookmarkStart w:id="333" w:name="_Hlk506822189"/>
    </w:p>
    <w:p w14:paraId="5DCBDD3A" w14:textId="77777777" w:rsidR="00230CCE" w:rsidRPr="0065554C" w:rsidRDefault="00B73C98" w:rsidP="004E1183">
      <w:pPr>
        <w:pStyle w:val="Numeral"/>
        <w:numPr>
          <w:ilvl w:val="0"/>
          <w:numId w:val="0"/>
        </w:numPr>
        <w:ind w:left="1844"/>
      </w:pPr>
      <w:r w:rsidRPr="0065554C">
        <w:t xml:space="preserve">Junto con el comprobante de recepción de las garantías asociadas al proceso de interconexión, deberán presentar la documentación que acredite que ha sido presentada y aceptada la solicitud del contrato de interconexión (para proyectos regulados por la Ley de la Industria Eléctrica sujetos al proceso de interconexión individual) o, en su caso, presente la documentación que acredite que las obras de interconexión requeridas para el proyecto se hayan incluido en el Programa de Desarrollo del Sistema Eléctrico Nacional, para el caso </w:t>
      </w:r>
      <w:r w:rsidRPr="0065554C">
        <w:lastRenderedPageBreak/>
        <w:t>de proyectos regulados por la Ley de la Industria Eléctrica sujetos al proceso de Planeación y Expansión del Sistema Eléctrico Nacional.</w:t>
      </w:r>
      <w:bookmarkEnd w:id="333"/>
    </w:p>
    <w:p w14:paraId="70F2D1BC" w14:textId="77777777" w:rsidR="00230CCE" w:rsidRPr="0065554C" w:rsidRDefault="00230CCE" w:rsidP="004E1183">
      <w:pPr>
        <w:pStyle w:val="Numeral"/>
        <w:numPr>
          <w:ilvl w:val="0"/>
          <w:numId w:val="0"/>
        </w:numPr>
        <w:ind w:left="1844"/>
      </w:pPr>
      <w:r w:rsidRPr="0065554C">
        <w:t xml:space="preserve">El CENACE, en un plazo de cinco días hábiles a partir del día hábil siguiente de la presentación de los documentos mencionados en este numeral, autorizará o negará el monto reducido de la Garantía de Seriedad al que hace referencia este numerario. Cuando la capacidad incluida en el proceso de interconexión rebase la capacidad incluida en la Oferta de Venta, sólo la parte proporcional de la garantía que corresponda a la interconexión se utilizará para dicha reducción. La Garantía Financiera sólo se considerará en la reducción de la Garantía de Seriedad cuando se haya ingresado y aceptado ante el CENACE una solicitud de contrato de interconexión </w:t>
      </w:r>
      <w:r w:rsidR="004E1183" w:rsidRPr="0065554C">
        <w:t>de acuerdo con el</w:t>
      </w:r>
      <w:r w:rsidRPr="0065554C">
        <w:t xml:space="preserve"> proceso de interconexión de las Centrales Eléctricas asociadas a las Ofertas de Venta del Licitante.</w:t>
      </w:r>
    </w:p>
    <w:p w14:paraId="2E650711" w14:textId="77777777" w:rsidR="00160338" w:rsidRPr="0065554C" w:rsidRDefault="00160338" w:rsidP="005E311D">
      <w:pPr>
        <w:pStyle w:val="Numeral"/>
      </w:pPr>
      <w:r w:rsidRPr="0065554C">
        <w:t xml:space="preserve">Una vez presentada la Garantía de Seriedad, el CENACE sólo emitirá las Constancias de Precalificación correspondientes a las Ofertas de Venta hasta por las cantidades que correspondan al valor de su Garantía de Seriedad. El CENACE no emitirá Constancias de Precalificación asociadas con las Ofertas de Venta cuyo valor exceda del monto mínimo necesario para que la Garantía de Seriedad sea suficiente en los términos de los valores previstos en el numeral 5.5.4 de las Bases de Licitación. Cuando la solicitud de precalificación incluya varias Ofertas de Venta, la suficiencia de la Garantía de Seriedad se evaluará con base en el orden de prioridad que el Licitante haya indicado para cada Oferta de Venta en su solicitud de precalificación. Si el monto de Garantía de Seriedad entregado por el Licitante no es suficiente para honrar todas las Ofertas de Venta, dicho monto sólo cubrirá a las Ofertas de Venta conforme a la prioridad indicada por el Licitante. </w:t>
      </w:r>
    </w:p>
    <w:p w14:paraId="74CCF50F" w14:textId="77777777" w:rsidR="00160338" w:rsidRPr="0065554C" w:rsidRDefault="00160338" w:rsidP="005E311D">
      <w:pPr>
        <w:pStyle w:val="Numeral"/>
      </w:pPr>
      <w:r w:rsidRPr="0065554C">
        <w:t>La Garantía de Seriedad es un requisito indispensable para la emisión de la Constancia de Precalificación, por lo que si no se entrega a más tardar en la fecha</w:t>
      </w:r>
      <w:r w:rsidR="008347C9" w:rsidRPr="0065554C">
        <w:t xml:space="preserve"> y hora</w:t>
      </w:r>
      <w:r w:rsidRPr="0065554C">
        <w:t xml:space="preserve"> señalada en el Calendario de la Subasta, o no cumple con los requisitos de forma y con el monto mínimo previstos en el Manual de Subastas de Largo Plazo y en las Bases de Licitación, el Licitante no habrá acreditado que la presentó en tiempo y forma, y por lo tanto, el CENACE no emitirá la Constancia de Precalificación y se desechará la o las Ofertas de Venta asociadas a dicha Garantía de Seriedad. </w:t>
      </w:r>
    </w:p>
    <w:p w14:paraId="75E23123" w14:textId="77777777" w:rsidR="00A346C3" w:rsidRPr="0065554C" w:rsidRDefault="00A346C3" w:rsidP="00A346C3">
      <w:pPr>
        <w:pStyle w:val="Numeral"/>
      </w:pPr>
      <w:r w:rsidRPr="0065554C">
        <w:t xml:space="preserve">Una vez que el CENACE determine las Ofertas de Venta ganadoras, las Garantías de Seriedad que respaldan a las Ofertas de Venta que no hayan sido declaradas ganadoras se liberarán total o parcialmente, según corresponda, dentro de los </w:t>
      </w:r>
      <w:r w:rsidR="00784A20" w:rsidRPr="0065554C">
        <w:t xml:space="preserve">dos </w:t>
      </w:r>
      <w:r w:rsidRPr="0065554C">
        <w:t>días hábiles siguientes a la presentación de la solicitud</w:t>
      </w:r>
      <w:r w:rsidR="00556028" w:rsidRPr="0065554C">
        <w:t xml:space="preserve"> a la que refiere</w:t>
      </w:r>
      <w:r w:rsidRPr="0065554C">
        <w:t xml:space="preserve"> el numeral 7.1.5 de las presentes bases de licitación. Dich</w:t>
      </w:r>
      <w:r w:rsidR="00556028" w:rsidRPr="0065554C">
        <w:t>a solicitud</w:t>
      </w:r>
      <w:r w:rsidRPr="0065554C">
        <w:t xml:space="preserve"> podrá presentarse a partir del día hábil siguiente a la emisión del fallo, conforme a lo siguiente:</w:t>
      </w:r>
    </w:p>
    <w:p w14:paraId="0184131D" w14:textId="77777777" w:rsidR="00A346C3" w:rsidRPr="0065554C" w:rsidRDefault="00A346C3" w:rsidP="00A346C3">
      <w:pPr>
        <w:pStyle w:val="Inciso"/>
      </w:pPr>
      <w:r w:rsidRPr="0065554C">
        <w:t xml:space="preserve">Si ninguna Oferta de Venta garantizada por la Garantía de Seriedad en cuestión resulta ganadora, se hará la liberación total de dicha garantía. </w:t>
      </w:r>
    </w:p>
    <w:p w14:paraId="42DDFBB4" w14:textId="77777777" w:rsidR="00A346C3" w:rsidRPr="0065554C" w:rsidRDefault="00A346C3" w:rsidP="00A346C3">
      <w:pPr>
        <w:pStyle w:val="Inciso"/>
      </w:pPr>
      <w:r w:rsidRPr="0065554C">
        <w:t xml:space="preserve">Si una o varias Ofertas de Venta garantizadas por la Garantía de Seriedad en cuestión resulta ganadora, dicha garantía se liberará parcialmente por el monto correspondiente a las Ofertas de Venta que no resultaron ganadoras. </w:t>
      </w:r>
    </w:p>
    <w:p w14:paraId="590DFCC3" w14:textId="77777777" w:rsidR="00A346C3" w:rsidRPr="0065554C" w:rsidRDefault="00A346C3" w:rsidP="00A346C3">
      <w:pPr>
        <w:pStyle w:val="Numeral"/>
      </w:pPr>
      <w:r w:rsidRPr="0065554C">
        <w:lastRenderedPageBreak/>
        <w:t xml:space="preserve">Si el Licitante </w:t>
      </w:r>
      <w:r w:rsidR="006C3856" w:rsidRPr="0065554C">
        <w:t>no presenta la oferta económica de su Oferta de Venta, la Garantía de Seriedad que haya entregado se liberará totalmente dentro de los diez días hábiles posteriores a la solicitud por escrito presentada en la ubicación y horarios descritos en el numeral 5.5.1. Lo anterior no aplica si la Garantía de Seriedad cubre otras ofertas de Venta para las que sí se haya presentado oferta económica, por lo que solo aplicará una liberación parcial.</w:t>
      </w:r>
    </w:p>
    <w:p w14:paraId="08A69804" w14:textId="77777777" w:rsidR="00A346C3" w:rsidRPr="0065554C" w:rsidRDefault="00A346C3" w:rsidP="00A346C3">
      <w:pPr>
        <w:pStyle w:val="Numeral"/>
      </w:pPr>
      <w:r w:rsidRPr="0065554C">
        <w:t>En caso de que el Licitante resulte asignatario, una vez que el o los Contratos correspondientes hayan sido suscritos por parte del Licitante, podrá llevar a cabo el proceso de cancelación de la Garantía de Seriedad, solicitándolo por escrito.</w:t>
      </w:r>
    </w:p>
    <w:p w14:paraId="7A227664" w14:textId="77777777" w:rsidR="006C3856" w:rsidRPr="0065554C" w:rsidRDefault="00A346C3" w:rsidP="00D57637">
      <w:pPr>
        <w:pStyle w:val="Numeral"/>
      </w:pPr>
      <w:r w:rsidRPr="0065554C">
        <w:t xml:space="preserve">Para </w:t>
      </w:r>
      <w:r w:rsidR="006C3856" w:rsidRPr="0065554C">
        <w:t>proceder con la cancelación de la Garantía de Seriedad, el CENACE emitirá su conformidad sobre la cancelación de la carta de crédito mediante el A</w:t>
      </w:r>
      <w:r w:rsidR="0021720E" w:rsidRPr="0065554C">
        <w:t>nexo</w:t>
      </w:r>
      <w:r w:rsidR="006C3856" w:rsidRPr="0065554C">
        <w:t xml:space="preserve"> “D” </w:t>
      </w:r>
      <w:r w:rsidR="0021720E" w:rsidRPr="0065554C">
        <w:t>“</w:t>
      </w:r>
      <w:r w:rsidR="006C3856" w:rsidRPr="0065554C">
        <w:t>F</w:t>
      </w:r>
      <w:r w:rsidR="0021720E" w:rsidRPr="0065554C">
        <w:t>ormato</w:t>
      </w:r>
      <w:r w:rsidR="004C39D0" w:rsidRPr="0065554C">
        <w:t xml:space="preserve"> </w:t>
      </w:r>
      <w:r w:rsidR="0021720E" w:rsidRPr="0065554C">
        <w:t>de conformidad de cancelación de la carta de crédito standby irrevocable”</w:t>
      </w:r>
      <w:r w:rsidR="006C3856" w:rsidRPr="0065554C">
        <w:t xml:space="preserve"> incluido en el </w:t>
      </w:r>
      <w:r w:rsidR="006C3856" w:rsidRPr="0065554C">
        <w:rPr>
          <w:b/>
        </w:rPr>
        <w:t>Anexo V.20,</w:t>
      </w:r>
      <w:r w:rsidR="006C3856" w:rsidRPr="0065554C">
        <w:t xml:space="preserve"> y será necesario que el Licitante solicite la cancelación de la o las Carta de Crédito presentadas, conforme al referido Anexo. El CENACE enviará al Banco emisor el Anexo </w:t>
      </w:r>
      <w:r w:rsidR="004C39D0" w:rsidRPr="0065554C">
        <w:t>“</w:t>
      </w:r>
      <w:r w:rsidR="006C3856" w:rsidRPr="0065554C">
        <w:t>D</w:t>
      </w:r>
      <w:r w:rsidR="004C39D0" w:rsidRPr="0065554C">
        <w:t>”</w:t>
      </w:r>
      <w:r w:rsidR="006C3856" w:rsidRPr="0065554C">
        <w:t xml:space="preserve"> mencionado a más tardar </w:t>
      </w:r>
      <w:r w:rsidR="0021720E" w:rsidRPr="0065554C">
        <w:t>diez</w:t>
      </w:r>
      <w:r w:rsidR="006C3856" w:rsidRPr="0065554C">
        <w:t xml:space="preserve"> días hábiles posteriores a la fecha en que se realice la solicitud correspondiente.</w:t>
      </w:r>
    </w:p>
    <w:p w14:paraId="1724C93A" w14:textId="77777777" w:rsidR="00A346C3" w:rsidRPr="0065554C" w:rsidRDefault="006C3856" w:rsidP="006C3856">
      <w:pPr>
        <w:pStyle w:val="Numeral"/>
        <w:numPr>
          <w:ilvl w:val="0"/>
          <w:numId w:val="0"/>
        </w:numPr>
        <w:ind w:left="1844"/>
      </w:pPr>
      <w:r w:rsidRPr="0065554C">
        <w:t>Una vez cumplido con lo anterior y con posterioridad al plazo referido en el párrafo anterior, el Licitante podrá recibir por parte del CENACE copia simple del acuse de recibido por parte del Banco Emisor. Con relación a la conformidad de cancelación emitida por el CENACE, el Licitante confirmará la cancelación de la o las Cartas de Crédito presentadas directamente con el Banco Emisor, habiendo transcurrido el plazo descrito en el párrafo anterior.</w:t>
      </w:r>
    </w:p>
    <w:p w14:paraId="794862F3" w14:textId="77777777" w:rsidR="006C3856" w:rsidRPr="0065554C" w:rsidRDefault="00A346C3" w:rsidP="00D57637">
      <w:pPr>
        <w:pStyle w:val="Numeral"/>
      </w:pPr>
      <w:r w:rsidRPr="0065554C">
        <w:t xml:space="preserve">Para </w:t>
      </w:r>
      <w:r w:rsidR="006C3856" w:rsidRPr="0065554C">
        <w:t>solicitar una reducción de importe de la Garantía de Seriedad, será necesario que el CENACE emita su conformidad por escrito en términos del A</w:t>
      </w:r>
      <w:r w:rsidR="0021720E" w:rsidRPr="0065554C">
        <w:t>nexo</w:t>
      </w:r>
      <w:r w:rsidR="006C3856" w:rsidRPr="0065554C">
        <w:t xml:space="preserve"> “C</w:t>
      </w:r>
      <w:r w:rsidR="004C39D0" w:rsidRPr="0065554C">
        <w:t>”” Formato</w:t>
      </w:r>
      <w:r w:rsidR="0021720E" w:rsidRPr="0065554C">
        <w:t xml:space="preserve"> de conformidad de reducción de importe de la carta de crédito standby irrevocable”</w:t>
      </w:r>
      <w:r w:rsidR="006C3856" w:rsidRPr="0065554C">
        <w:t xml:space="preserve"> incluido en el </w:t>
      </w:r>
      <w:r w:rsidR="006C3856" w:rsidRPr="0065554C">
        <w:rPr>
          <w:b/>
        </w:rPr>
        <w:t>Anexo V.20</w:t>
      </w:r>
      <w:r w:rsidR="006C3856" w:rsidRPr="0065554C">
        <w:t xml:space="preserve">, para lo cual será necesario que el Licitante presente al CENACE un oficio solicitando el monto de reducción e indicando el importe final de la carta de crédito considerando el monto a disminuir. En caso de proceder, el CENACE será el encargado de remitir el </w:t>
      </w:r>
      <w:r w:rsidR="006C3856" w:rsidRPr="0065554C">
        <w:rPr>
          <w:szCs w:val="20"/>
        </w:rPr>
        <w:t xml:space="preserve">referido </w:t>
      </w:r>
      <w:r w:rsidR="006C3856" w:rsidRPr="0065554C">
        <w:t xml:space="preserve">Anexo C ante el Banco emisor de la carta de crédito dentro de los </w:t>
      </w:r>
      <w:r w:rsidR="00AD7AD2" w:rsidRPr="0065554C">
        <w:t>diez días</w:t>
      </w:r>
      <w:r w:rsidR="006C3856" w:rsidRPr="0065554C">
        <w:t xml:space="preserve"> hábiles posteriores a la presentación de la solicitud por escrito.</w:t>
      </w:r>
    </w:p>
    <w:p w14:paraId="6908FCE9" w14:textId="77777777" w:rsidR="00A346C3" w:rsidRPr="0065554C" w:rsidRDefault="006C3856" w:rsidP="006C3856">
      <w:pPr>
        <w:pStyle w:val="Numeral"/>
        <w:numPr>
          <w:ilvl w:val="0"/>
          <w:numId w:val="0"/>
        </w:numPr>
        <w:ind w:left="1844"/>
      </w:pPr>
      <w:r w:rsidRPr="0065554C">
        <w:t>Una vez cumplido con lo anterior y con posterioridad al plazo referido el Licitante podrá recibir por parte del CENACE copia simple del acuse de recibido por el Banco Emisor. Con relación a la conformidad de reducción de importe emitida por el CENACE, el Licitante confirmará la cancelación de la o las Cartas de Crédito presentadas directamente con el Banco Emisor, habiendo transcurrido el plazo descrito en el párrafo anterior.</w:t>
      </w:r>
      <w:r w:rsidR="00A346C3" w:rsidRPr="0065554C">
        <w:t xml:space="preserve"> </w:t>
      </w:r>
    </w:p>
    <w:p w14:paraId="18DB6192" w14:textId="77777777" w:rsidR="00A346C3" w:rsidRPr="0065554C" w:rsidRDefault="006C3856" w:rsidP="00A346C3">
      <w:pPr>
        <w:pStyle w:val="Numeral"/>
      </w:pPr>
      <w:r w:rsidRPr="0065554C">
        <w:t>Las modificaciones</w:t>
      </w:r>
      <w:r w:rsidR="00A346C3" w:rsidRPr="0065554C">
        <w:t xml:space="preserve"> al contenido de la Garantía de Seriedad aceptada por el CENACE</w:t>
      </w:r>
      <w:r w:rsidRPr="0065554C">
        <w:t xml:space="preserve"> que implique actualizar la fecha señalada en el numeral 4.5.3 inciso e), originada por cualquier modificación en los calendarios previstos o por alguna otra situación autorizada por el CENACE, será necesario que el Licitante instruya al banco Emisor de la o las Cartas de Crédito presentadas ante el CENACE para que estos emitan el A</w:t>
      </w:r>
      <w:r w:rsidR="0021720E" w:rsidRPr="0065554C">
        <w:t>nexo</w:t>
      </w:r>
      <w:r w:rsidRPr="0065554C">
        <w:t xml:space="preserve"> “B” </w:t>
      </w:r>
      <w:r w:rsidR="0021720E" w:rsidRPr="0065554C">
        <w:t>“</w:t>
      </w:r>
      <w:r w:rsidRPr="0065554C">
        <w:t>F</w:t>
      </w:r>
      <w:r w:rsidR="0021720E" w:rsidRPr="0065554C">
        <w:t xml:space="preserve">ormato de </w:t>
      </w:r>
      <w:r w:rsidR="004C39D0" w:rsidRPr="0065554C">
        <w:t>modificación</w:t>
      </w:r>
      <w:r w:rsidR="0021720E" w:rsidRPr="0065554C">
        <w:t xml:space="preserve"> a la carta de crédito standby”</w:t>
      </w:r>
      <w:r w:rsidRPr="0065554C">
        <w:t xml:space="preserve"> incluido en el</w:t>
      </w:r>
      <w:r w:rsidRPr="0065554C" w:rsidDel="00A662FF">
        <w:t xml:space="preserve"> </w:t>
      </w:r>
      <w:r w:rsidRPr="0065554C">
        <w:rPr>
          <w:b/>
        </w:rPr>
        <w:t>Anexo V.20</w:t>
      </w:r>
      <w:r w:rsidRPr="0065554C">
        <w:t xml:space="preserve">, mismo que deberá estar debidamente elaborado respetando íntegramente el contenido, paginado, tipografía, uso de mayúsculas y minúsculas, los signos de puntuación, e interlineado establecidos. Este </w:t>
      </w:r>
      <w:r w:rsidRPr="0065554C">
        <w:lastRenderedPageBreak/>
        <w:t xml:space="preserve">documento deberá ser presentado en un plazo que no excederá de </w:t>
      </w:r>
      <w:r w:rsidR="0021720E" w:rsidRPr="0065554C">
        <w:t>diez</w:t>
      </w:r>
      <w:r w:rsidRPr="0065554C">
        <w:t xml:space="preserve"> días hábiles posteriores a la notificación que realice CENACE para hacer del conocimiento del Licitante y del Banco Emisor la necesidad de actualizar el contenido de las Cartas de Crédito aceptadas.</w:t>
      </w:r>
    </w:p>
    <w:p w14:paraId="333AD93C" w14:textId="77777777" w:rsidR="00BB5603" w:rsidRPr="0065554C" w:rsidRDefault="00BB5603" w:rsidP="00BB5603">
      <w:pPr>
        <w:pStyle w:val="Numeral"/>
      </w:pPr>
      <w:bookmarkStart w:id="334" w:name="_Toc450052190"/>
      <w:bookmarkStart w:id="335" w:name="_Toc312964160"/>
      <w:r w:rsidRPr="0065554C">
        <w:t>Para efecto de lo descrito en los numerales 5.5.12 y 5.5.13, el Licitante deberá presentar en la misma dirección y horarios mencionados en el numeral 5.5.</w:t>
      </w:r>
      <w:r w:rsidR="0007546C" w:rsidRPr="0065554C">
        <w:t>1</w:t>
      </w:r>
      <w:r w:rsidRPr="0065554C">
        <w:t>, escrito libre en el que se expongan las razones para justificar la emisión de los formatos de conformidad de cancelación y de reducción del importe, respectivamente.</w:t>
      </w:r>
    </w:p>
    <w:p w14:paraId="73AC994D" w14:textId="77777777" w:rsidR="00BB5603" w:rsidRPr="0065554C" w:rsidRDefault="00BB5603" w:rsidP="00BB5603">
      <w:pPr>
        <w:pStyle w:val="Numeral"/>
      </w:pPr>
      <w:bookmarkStart w:id="336" w:name="_Hlk504416357"/>
      <w:r w:rsidRPr="0065554C">
        <w:t>Las personas que podrán suscribir y presentar el escrito libre mencionado en el numeral anterior, serán las siguientes:</w:t>
      </w:r>
    </w:p>
    <w:p w14:paraId="3F821C41" w14:textId="77777777" w:rsidR="00BB5603" w:rsidRPr="0065554C" w:rsidRDefault="00BB5603" w:rsidP="00BB5603">
      <w:pPr>
        <w:pStyle w:val="Inciso"/>
      </w:pPr>
      <w:r w:rsidRPr="0065554C">
        <w:t>Los representantes legales designados por los Licitantes ante el Centro Nacional de Control de Energía, anexando copia de su identificación oficial;</w:t>
      </w:r>
    </w:p>
    <w:p w14:paraId="7D82B80F" w14:textId="77777777" w:rsidR="00BB5603" w:rsidRPr="0065554C" w:rsidRDefault="00BB5603" w:rsidP="00BB5603">
      <w:pPr>
        <w:pStyle w:val="Inciso"/>
      </w:pPr>
      <w:r w:rsidRPr="0065554C">
        <w:t>Cualquier otra persona, distinta a la que se refiere el inciso anterior, deberá presentar carta poder en original y copia;</w:t>
      </w:r>
    </w:p>
    <w:p w14:paraId="1ADC1E79" w14:textId="77777777" w:rsidR="00BB5603" w:rsidRPr="0065554C" w:rsidRDefault="00BB5603" w:rsidP="00BB5603">
      <w:pPr>
        <w:pStyle w:val="Inciso"/>
      </w:pPr>
      <w:r w:rsidRPr="0065554C">
        <w:t>En caso de no ser el representante legal designado ante el CENACE, podrá presentarse otra persona que tenga el carácter de representante legal del Licitante, debiendo traer consigo original y copia para su cotejo, del instrumento que lo acredite como tal, así como identificación oficial en original y copia para los mismos fines.</w:t>
      </w:r>
    </w:p>
    <w:p w14:paraId="0989C7BA" w14:textId="77777777" w:rsidR="00BB5603" w:rsidRPr="0065554C" w:rsidRDefault="00BB5603" w:rsidP="00BB5603">
      <w:pPr>
        <w:pStyle w:val="Inciso"/>
      </w:pPr>
      <w:r w:rsidRPr="0065554C">
        <w:t>Cualquier otra persona deberá presentar carta poder en original y copia del representante a que se refiere el inciso anterior, acompañada con copia de la identificación oficial del poderdante, así como original y copia para su cotejo, del instrumento que acredite como representante legal del Licitante al poderdante, y, copia y original de la identificación oficial del apoderado.</w:t>
      </w:r>
    </w:p>
    <w:p w14:paraId="05BFCDCA" w14:textId="77777777" w:rsidR="00160338" w:rsidRPr="0065554C" w:rsidRDefault="00160338" w:rsidP="00160338">
      <w:pPr>
        <w:pStyle w:val="Seccin"/>
      </w:pPr>
      <w:bookmarkStart w:id="337" w:name="_Toc435898956"/>
      <w:bookmarkStart w:id="338" w:name="_Toc435899027"/>
      <w:bookmarkStart w:id="339" w:name="_Toc435899098"/>
      <w:bookmarkStart w:id="340" w:name="_Toc435900715"/>
      <w:bookmarkStart w:id="341" w:name="_Toc436199681"/>
      <w:bookmarkStart w:id="342" w:name="_Toc436201408"/>
      <w:bookmarkStart w:id="343" w:name="_Toc436201484"/>
      <w:bookmarkStart w:id="344" w:name="_Toc436207522"/>
      <w:bookmarkStart w:id="345" w:name="_Toc436209133"/>
      <w:bookmarkStart w:id="346" w:name="_Toc436223634"/>
      <w:bookmarkStart w:id="347" w:name="_Toc436230353"/>
      <w:bookmarkStart w:id="348" w:name="_Toc436230425"/>
      <w:bookmarkStart w:id="349" w:name="_Toc436237506"/>
      <w:bookmarkStart w:id="350" w:name="_Toc436237581"/>
      <w:bookmarkStart w:id="351" w:name="_Toc436237654"/>
      <w:bookmarkStart w:id="352" w:name="_Toc436326210"/>
      <w:bookmarkStart w:id="353" w:name="_Toc436326270"/>
      <w:bookmarkStart w:id="354" w:name="_Toc436334953"/>
      <w:bookmarkStart w:id="355" w:name="_Toc436411281"/>
      <w:bookmarkStart w:id="356" w:name="_Toc435898957"/>
      <w:bookmarkStart w:id="357" w:name="_Toc435899028"/>
      <w:bookmarkStart w:id="358" w:name="_Toc435899099"/>
      <w:bookmarkStart w:id="359" w:name="_Toc435900716"/>
      <w:bookmarkStart w:id="360" w:name="_Toc436199682"/>
      <w:bookmarkStart w:id="361" w:name="_Toc436201409"/>
      <w:bookmarkStart w:id="362" w:name="_Toc436201485"/>
      <w:bookmarkStart w:id="363" w:name="_Toc436207523"/>
      <w:bookmarkStart w:id="364" w:name="_Toc436209134"/>
      <w:bookmarkStart w:id="365" w:name="_Toc436223635"/>
      <w:bookmarkStart w:id="366" w:name="_Toc436230354"/>
      <w:bookmarkStart w:id="367" w:name="_Toc436230426"/>
      <w:bookmarkStart w:id="368" w:name="_Toc436237507"/>
      <w:bookmarkStart w:id="369" w:name="_Toc436237582"/>
      <w:bookmarkStart w:id="370" w:name="_Toc436237655"/>
      <w:bookmarkStart w:id="371" w:name="_Toc436326024"/>
      <w:bookmarkStart w:id="372" w:name="_Toc436326211"/>
      <w:bookmarkStart w:id="373" w:name="_Toc436326271"/>
      <w:bookmarkStart w:id="374" w:name="_Toc436334954"/>
      <w:bookmarkStart w:id="375" w:name="_Toc436411282"/>
      <w:bookmarkStart w:id="376" w:name="_Toc435898958"/>
      <w:bookmarkStart w:id="377" w:name="_Toc435899029"/>
      <w:bookmarkStart w:id="378" w:name="_Toc435899100"/>
      <w:bookmarkStart w:id="379" w:name="_Toc435900717"/>
      <w:bookmarkStart w:id="380" w:name="_Toc436199683"/>
      <w:bookmarkStart w:id="381" w:name="_Toc436201410"/>
      <w:bookmarkStart w:id="382" w:name="_Toc436201486"/>
      <w:bookmarkStart w:id="383" w:name="_Toc436207524"/>
      <w:bookmarkStart w:id="384" w:name="_Toc436209135"/>
      <w:bookmarkStart w:id="385" w:name="_Toc436223636"/>
      <w:bookmarkStart w:id="386" w:name="_Toc436230355"/>
      <w:bookmarkStart w:id="387" w:name="_Toc436230427"/>
      <w:bookmarkStart w:id="388" w:name="_Toc436237508"/>
      <w:bookmarkStart w:id="389" w:name="_Toc436237583"/>
      <w:bookmarkStart w:id="390" w:name="_Toc436237656"/>
      <w:bookmarkStart w:id="391" w:name="_Toc436326025"/>
      <w:bookmarkStart w:id="392" w:name="_Toc436326212"/>
      <w:bookmarkStart w:id="393" w:name="_Toc436326272"/>
      <w:bookmarkStart w:id="394" w:name="_Toc436334955"/>
      <w:bookmarkStart w:id="395" w:name="_Toc436411283"/>
      <w:bookmarkStart w:id="396" w:name="_Toc435898959"/>
      <w:bookmarkStart w:id="397" w:name="_Toc435899030"/>
      <w:bookmarkStart w:id="398" w:name="_Toc435899101"/>
      <w:bookmarkStart w:id="399" w:name="_Toc435900718"/>
      <w:bookmarkStart w:id="400" w:name="_Toc436199684"/>
      <w:bookmarkStart w:id="401" w:name="_Toc436201411"/>
      <w:bookmarkStart w:id="402" w:name="_Toc436201487"/>
      <w:bookmarkStart w:id="403" w:name="_Toc436207525"/>
      <w:bookmarkStart w:id="404" w:name="_Toc436209136"/>
      <w:bookmarkStart w:id="405" w:name="_Toc436223637"/>
      <w:bookmarkStart w:id="406" w:name="_Toc436230356"/>
      <w:bookmarkStart w:id="407" w:name="_Toc436230428"/>
      <w:bookmarkStart w:id="408" w:name="_Toc436237509"/>
      <w:bookmarkStart w:id="409" w:name="_Toc436237584"/>
      <w:bookmarkStart w:id="410" w:name="_Toc436237657"/>
      <w:bookmarkStart w:id="411" w:name="_Toc436326026"/>
      <w:bookmarkStart w:id="412" w:name="_Toc436326213"/>
      <w:bookmarkStart w:id="413" w:name="_Toc436326273"/>
      <w:bookmarkStart w:id="414" w:name="_Toc436334956"/>
      <w:bookmarkStart w:id="415" w:name="_Toc436411284"/>
      <w:bookmarkStart w:id="416" w:name="_Toc435898960"/>
      <w:bookmarkStart w:id="417" w:name="_Toc435899031"/>
      <w:bookmarkStart w:id="418" w:name="_Toc435899102"/>
      <w:bookmarkStart w:id="419" w:name="_Toc435900719"/>
      <w:bookmarkStart w:id="420" w:name="_Toc436199685"/>
      <w:bookmarkStart w:id="421" w:name="_Toc436201412"/>
      <w:bookmarkStart w:id="422" w:name="_Toc436201488"/>
      <w:bookmarkStart w:id="423" w:name="_Toc436207526"/>
      <w:bookmarkStart w:id="424" w:name="_Toc436209137"/>
      <w:bookmarkStart w:id="425" w:name="_Toc436223638"/>
      <w:bookmarkStart w:id="426" w:name="_Toc436230357"/>
      <w:bookmarkStart w:id="427" w:name="_Toc436230429"/>
      <w:bookmarkStart w:id="428" w:name="_Toc436237510"/>
      <w:bookmarkStart w:id="429" w:name="_Toc436237585"/>
      <w:bookmarkStart w:id="430" w:name="_Toc436237658"/>
      <w:bookmarkStart w:id="431" w:name="_Toc436326027"/>
      <w:bookmarkStart w:id="432" w:name="_Toc436326214"/>
      <w:bookmarkStart w:id="433" w:name="_Toc436326274"/>
      <w:bookmarkStart w:id="434" w:name="_Toc436334957"/>
      <w:bookmarkStart w:id="435" w:name="_Toc436411285"/>
      <w:bookmarkStart w:id="436" w:name="_Toc436487872"/>
      <w:bookmarkStart w:id="437" w:name="_Toc436433776"/>
      <w:bookmarkStart w:id="438" w:name="_Toc450201432"/>
      <w:bookmarkStart w:id="439" w:name="_Toc450638595"/>
      <w:bookmarkStart w:id="440" w:name="_Toc454100254"/>
      <w:bookmarkStart w:id="441" w:name="_Toc479255736"/>
      <w:bookmarkStart w:id="442" w:name="_Toc479763785"/>
      <w:bookmarkStart w:id="443" w:name="_Toc509413024"/>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r w:rsidRPr="0065554C">
        <w:t xml:space="preserve">Resultados de la </w:t>
      </w:r>
      <w:r w:rsidR="0021720E" w:rsidRPr="0065554C">
        <w:t>P</w:t>
      </w:r>
      <w:r w:rsidRPr="0065554C">
        <w:t>recalificación</w:t>
      </w:r>
      <w:bookmarkEnd w:id="334"/>
      <w:bookmarkEnd w:id="335"/>
      <w:bookmarkEnd w:id="436"/>
      <w:bookmarkEnd w:id="437"/>
      <w:bookmarkEnd w:id="438"/>
      <w:bookmarkEnd w:id="439"/>
      <w:bookmarkEnd w:id="440"/>
      <w:r w:rsidRPr="0065554C">
        <w:t xml:space="preserve"> de Ofertas de Venta</w:t>
      </w:r>
      <w:bookmarkEnd w:id="441"/>
      <w:bookmarkEnd w:id="442"/>
      <w:bookmarkEnd w:id="443"/>
    </w:p>
    <w:p w14:paraId="2A468019" w14:textId="77777777" w:rsidR="00160338" w:rsidRPr="0065554C" w:rsidRDefault="00160338" w:rsidP="005E311D">
      <w:pPr>
        <w:pStyle w:val="Numeral"/>
      </w:pPr>
      <w:r w:rsidRPr="0065554C">
        <w:t xml:space="preserve">El CENACE emitirá y notificará las Constancias de Precalificación </w:t>
      </w:r>
      <w:r w:rsidR="00FB1622" w:rsidRPr="0065554C">
        <w:t xml:space="preserve">dentro </w:t>
      </w:r>
      <w:r w:rsidR="00B05357" w:rsidRPr="0065554C">
        <w:t xml:space="preserve">del </w:t>
      </w:r>
      <w:r w:rsidRPr="0065554C">
        <w:t>plazo señalado para ello en el Calendario de la Subasta.</w:t>
      </w:r>
    </w:p>
    <w:p w14:paraId="6DACFE05" w14:textId="77777777" w:rsidR="00160338" w:rsidRPr="0065554C" w:rsidRDefault="00160338" w:rsidP="005E311D">
      <w:pPr>
        <w:pStyle w:val="Numeral"/>
      </w:pPr>
      <w:r w:rsidRPr="0065554C">
        <w:t xml:space="preserve">Cada Constancia de Precalificación otorgará a su titular el derecho a presentar en la Subasta la Oferta de Venta o las Ofertas de Venta que la misma ampare, para lo cual el Licitante deberá remitir al CENACE únicamente la oferta económica correspondiente. El contenido de la oferta técnica corresponderá al que haya sido presentado por el </w:t>
      </w:r>
      <w:r w:rsidR="00B05357" w:rsidRPr="0065554C">
        <w:t>Licitante</w:t>
      </w:r>
      <w:r w:rsidRPr="0065554C">
        <w:t xml:space="preserve"> en la etapa de precalificación para obtener la Constancia de Precalificación </w:t>
      </w:r>
      <w:r w:rsidR="00FB1622" w:rsidRPr="0065554C">
        <w:t>de la</w:t>
      </w:r>
      <w:r w:rsidR="00832DAD" w:rsidRPr="0065554C">
        <w:t xml:space="preserve"> </w:t>
      </w:r>
      <w:r w:rsidRPr="0065554C">
        <w:t xml:space="preserve">Oferta de Venta. </w:t>
      </w:r>
    </w:p>
    <w:p w14:paraId="2099F5D6" w14:textId="77777777" w:rsidR="00160338" w:rsidRPr="0065554C" w:rsidRDefault="00160338" w:rsidP="005E311D">
      <w:pPr>
        <w:pStyle w:val="Numeral"/>
      </w:pPr>
      <w:r w:rsidRPr="0065554C">
        <w:t xml:space="preserve">El CENACE publicará en su página web, y a más tardar en la fecha señalada para ello en el Calendario de la Subasta, una relación de las Constancias de Precalificación que haya emitido indicando el nombre del </w:t>
      </w:r>
      <w:r w:rsidR="00B05357" w:rsidRPr="0065554C">
        <w:t>Licitante</w:t>
      </w:r>
      <w:r w:rsidRPr="0065554C">
        <w:t xml:space="preserve"> que haya presentado la solicitud de precalificación correspondiente y el folio único respectivo. Si como resultado de alguna controversia el CENACE emite nuevas Constancias de Precalificación, esa publicación deberá actualizarse.</w:t>
      </w:r>
    </w:p>
    <w:p w14:paraId="4D78DB7F" w14:textId="77777777" w:rsidR="00160338" w:rsidRPr="0065554C" w:rsidRDefault="00160338" w:rsidP="005E311D">
      <w:pPr>
        <w:pStyle w:val="Numeral"/>
      </w:pPr>
      <w:r w:rsidRPr="0065554C">
        <w:lastRenderedPageBreak/>
        <w:t xml:space="preserve">Las Constancias de Precalificación en ningún momento generarán derechos sobre el estado de la interconexión ni garantizará capacidad de interconexión. </w:t>
      </w:r>
    </w:p>
    <w:p w14:paraId="30897F4A" w14:textId="77777777" w:rsidR="00160338" w:rsidRPr="0065554C" w:rsidRDefault="00160338" w:rsidP="005E311D">
      <w:pPr>
        <w:pStyle w:val="Numeral"/>
      </w:pPr>
      <w:r w:rsidRPr="0065554C">
        <w:t>La Constancia de Precalificación solo será válida para la Subasta en la que haya sido emitido</w:t>
      </w:r>
      <w:r w:rsidR="001117A0" w:rsidRPr="0065554C">
        <w:t xml:space="preserve"> y para las Ofertas de Venta que amp</w:t>
      </w:r>
      <w:r w:rsidR="0007546C" w:rsidRPr="0065554C">
        <w:t>a</w:t>
      </w:r>
      <w:r w:rsidR="001117A0" w:rsidRPr="0065554C">
        <w:t>re</w:t>
      </w:r>
      <w:r w:rsidRPr="0065554C">
        <w:t>, por lo que no tendrá efecto alguno en Subastas subsecuentes.</w:t>
      </w:r>
    </w:p>
    <w:p w14:paraId="25E4FFCB" w14:textId="77777777" w:rsidR="00160338" w:rsidRPr="0065554C" w:rsidRDefault="00160338" w:rsidP="00160338">
      <w:pPr>
        <w:pStyle w:val="Seccin"/>
      </w:pPr>
      <w:bookmarkStart w:id="444" w:name="_Toc450052191"/>
      <w:bookmarkStart w:id="445" w:name="_Toc312964161"/>
      <w:bookmarkStart w:id="446" w:name="_Toc450201433"/>
      <w:bookmarkStart w:id="447" w:name="_Toc450638596"/>
      <w:bookmarkStart w:id="448" w:name="_Toc479255737"/>
      <w:bookmarkStart w:id="449" w:name="_Toc454100255"/>
      <w:bookmarkStart w:id="450" w:name="_Toc479763786"/>
      <w:bookmarkStart w:id="451" w:name="_Toc509413025"/>
      <w:r w:rsidRPr="0065554C">
        <w:t>Desistimiento de las Ofertas de Venta</w:t>
      </w:r>
      <w:bookmarkEnd w:id="444"/>
      <w:bookmarkEnd w:id="445"/>
      <w:bookmarkEnd w:id="446"/>
      <w:bookmarkEnd w:id="447"/>
      <w:bookmarkEnd w:id="448"/>
      <w:bookmarkEnd w:id="449"/>
      <w:bookmarkEnd w:id="450"/>
      <w:bookmarkEnd w:id="451"/>
    </w:p>
    <w:p w14:paraId="5D35D447" w14:textId="77777777" w:rsidR="00160338" w:rsidRPr="0065554C" w:rsidRDefault="00870F94" w:rsidP="00870F94">
      <w:pPr>
        <w:pStyle w:val="Numeral"/>
      </w:pPr>
      <w:r w:rsidRPr="0065554C">
        <w:t>Los Licitantes podrán desistirse de su participación en la Subasta respecto de una o todas sus Ofertas de Venta siempre y cuando lo hagan por escrito (en formato libre) y lo notifiquen al CENACE antes de la fecha establecida en el Calendario para la emisión de Constancias de Precalificación; en consecuencia, las Ofertas de Venta que estén condicionadas, serán tomadas como desistidas y no podrán presentar Oferta de Venta Económica. En caso de haber presentado más Ofertas de Venta y siempre que estás no se encuentren condicionadas a las que se desiste, las prioridades originalmente señaladas se reasignarán recorriéndose conforme lo establecido en las solicitudes de precalificación de Ofertas de Venta remanentes</w:t>
      </w:r>
      <w:r w:rsidR="006666FE" w:rsidRPr="0065554C">
        <w:t xml:space="preserve">. </w:t>
      </w:r>
    </w:p>
    <w:tbl>
      <w:tblPr>
        <w:tblW w:w="9337" w:type="dxa"/>
        <w:tblInd w:w="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9337"/>
      </w:tblGrid>
      <w:tr w:rsidR="0065554C" w:rsidRPr="0065554C" w14:paraId="6C889CBB" w14:textId="77777777" w:rsidTr="00B300B6">
        <w:tc>
          <w:tcPr>
            <w:tcW w:w="9337" w:type="dxa"/>
            <w:shd w:val="clear" w:color="auto" w:fill="DDD9C3"/>
          </w:tcPr>
          <w:p w14:paraId="751D9735" w14:textId="77777777" w:rsidR="00F57DC1" w:rsidRPr="0065554C" w:rsidRDefault="00F57DC1" w:rsidP="002B0C6C">
            <w:pPr>
              <w:ind w:left="283" w:right="333"/>
              <w:jc w:val="center"/>
            </w:pPr>
            <w:r w:rsidRPr="0065554C">
              <w:rPr>
                <w:rFonts w:ascii="Calibri" w:eastAsia="Calibri" w:hAnsi="Calibri" w:cs="Calibri"/>
                <w:b/>
                <w:szCs w:val="20"/>
              </w:rPr>
              <w:t>Ejemplo:</w:t>
            </w:r>
          </w:p>
          <w:p w14:paraId="0B3ED048" w14:textId="77777777" w:rsidR="00160338" w:rsidRPr="0065554C" w:rsidRDefault="00160338" w:rsidP="002B0C6C">
            <w:pPr>
              <w:ind w:right="333"/>
              <w:rPr>
                <w:rFonts w:ascii="Calibri" w:eastAsia="Calibri" w:hAnsi="Calibri" w:cs="Calibri"/>
                <w:szCs w:val="20"/>
              </w:rPr>
            </w:pPr>
            <w:r w:rsidRPr="0065554C">
              <w:rPr>
                <w:rFonts w:ascii="Calibri" w:eastAsia="Calibri" w:hAnsi="Calibri" w:cs="Calibri"/>
                <w:szCs w:val="20"/>
              </w:rPr>
              <w:t>Supongamos que un Interesado presentó solicitudes de precalificación para cinco Ofertas de Venta con las siguientes prioridades:</w:t>
            </w:r>
          </w:p>
          <w:tbl>
            <w:tblPr>
              <w:tblStyle w:val="Tablaconcuadrcula"/>
              <w:tblW w:w="0" w:type="auto"/>
              <w:tblLayout w:type="fixed"/>
              <w:tblLook w:val="04A0" w:firstRow="1" w:lastRow="0" w:firstColumn="1" w:lastColumn="0" w:noHBand="0" w:noVBand="1"/>
            </w:tblPr>
            <w:tblGrid>
              <w:gridCol w:w="1517"/>
              <w:gridCol w:w="1517"/>
              <w:gridCol w:w="1518"/>
              <w:gridCol w:w="1518"/>
              <w:gridCol w:w="1518"/>
              <w:gridCol w:w="1518"/>
            </w:tblGrid>
            <w:tr w:rsidR="0065554C" w:rsidRPr="0065554C" w14:paraId="08F80165" w14:textId="77777777" w:rsidTr="005D0817">
              <w:tc>
                <w:tcPr>
                  <w:tcW w:w="1517" w:type="dxa"/>
                  <w:shd w:val="clear" w:color="auto" w:fill="FFFFFF" w:themeFill="background1"/>
                </w:tcPr>
                <w:p w14:paraId="03C90FBC" w14:textId="77777777" w:rsidR="00160338" w:rsidRPr="0065554C" w:rsidRDefault="00160338" w:rsidP="002B0C6C">
                  <w:pPr>
                    <w:ind w:right="333"/>
                    <w:rPr>
                      <w:rFonts w:ascii="Calibri" w:eastAsia="Calibri" w:hAnsi="Calibri" w:cs="Calibri"/>
                      <w:szCs w:val="20"/>
                      <w:lang w:val="es-MX"/>
                    </w:rPr>
                  </w:pPr>
                  <w:r w:rsidRPr="0065554C">
                    <w:rPr>
                      <w:rFonts w:ascii="Calibri" w:eastAsia="Calibri" w:hAnsi="Calibri" w:cs="Calibri"/>
                      <w:szCs w:val="20"/>
                      <w:lang w:val="es-MX"/>
                    </w:rPr>
                    <w:t>Oferta de Venta</w:t>
                  </w:r>
                </w:p>
              </w:tc>
              <w:tc>
                <w:tcPr>
                  <w:tcW w:w="1517" w:type="dxa"/>
                  <w:shd w:val="clear" w:color="auto" w:fill="FFFFFF" w:themeFill="background1"/>
                </w:tcPr>
                <w:p w14:paraId="536D4DE7" w14:textId="77777777" w:rsidR="00160338" w:rsidRPr="0065554C" w:rsidRDefault="00160338" w:rsidP="002B0C6C">
                  <w:pPr>
                    <w:ind w:right="333"/>
                    <w:rPr>
                      <w:rFonts w:ascii="Calibri" w:eastAsia="Calibri" w:hAnsi="Calibri" w:cs="Calibri"/>
                      <w:szCs w:val="20"/>
                      <w:lang w:val="es-MX"/>
                    </w:rPr>
                  </w:pPr>
                  <w:r w:rsidRPr="0065554C">
                    <w:rPr>
                      <w:rFonts w:ascii="Calibri" w:eastAsia="Calibri" w:hAnsi="Calibri" w:cs="Calibri"/>
                      <w:szCs w:val="20"/>
                      <w:lang w:val="es-MX"/>
                    </w:rPr>
                    <w:t>Oferta de Venta 1</w:t>
                  </w:r>
                </w:p>
              </w:tc>
              <w:tc>
                <w:tcPr>
                  <w:tcW w:w="1518" w:type="dxa"/>
                  <w:shd w:val="clear" w:color="auto" w:fill="FFFFFF" w:themeFill="background1"/>
                </w:tcPr>
                <w:p w14:paraId="23527003" w14:textId="77777777" w:rsidR="00160338" w:rsidRPr="0065554C" w:rsidRDefault="00160338" w:rsidP="002B0C6C">
                  <w:pPr>
                    <w:ind w:right="333"/>
                    <w:rPr>
                      <w:rFonts w:ascii="Calibri" w:eastAsia="Calibri" w:hAnsi="Calibri" w:cs="Calibri"/>
                      <w:szCs w:val="20"/>
                      <w:lang w:val="es-MX"/>
                    </w:rPr>
                  </w:pPr>
                  <w:r w:rsidRPr="0065554C">
                    <w:rPr>
                      <w:rFonts w:ascii="Calibri" w:eastAsia="Calibri" w:hAnsi="Calibri" w:cs="Calibri"/>
                      <w:szCs w:val="20"/>
                      <w:lang w:val="es-MX"/>
                    </w:rPr>
                    <w:t>Oferta de Venta 2</w:t>
                  </w:r>
                </w:p>
              </w:tc>
              <w:tc>
                <w:tcPr>
                  <w:tcW w:w="1518" w:type="dxa"/>
                  <w:shd w:val="clear" w:color="auto" w:fill="FFFFFF" w:themeFill="background1"/>
                </w:tcPr>
                <w:p w14:paraId="2C9FD571" w14:textId="77777777" w:rsidR="00160338" w:rsidRPr="0065554C" w:rsidRDefault="00160338" w:rsidP="002B0C6C">
                  <w:pPr>
                    <w:ind w:right="333"/>
                    <w:rPr>
                      <w:rFonts w:ascii="Calibri" w:eastAsia="Calibri" w:hAnsi="Calibri" w:cs="Calibri"/>
                      <w:szCs w:val="20"/>
                      <w:lang w:val="es-MX"/>
                    </w:rPr>
                  </w:pPr>
                  <w:r w:rsidRPr="0065554C">
                    <w:rPr>
                      <w:rFonts w:ascii="Calibri" w:eastAsia="Calibri" w:hAnsi="Calibri" w:cs="Calibri"/>
                      <w:szCs w:val="20"/>
                      <w:lang w:val="es-MX"/>
                    </w:rPr>
                    <w:t>Oferta de Venta 3</w:t>
                  </w:r>
                </w:p>
              </w:tc>
              <w:tc>
                <w:tcPr>
                  <w:tcW w:w="1518" w:type="dxa"/>
                  <w:shd w:val="clear" w:color="auto" w:fill="FFFFFF" w:themeFill="background1"/>
                </w:tcPr>
                <w:p w14:paraId="0ACC2C4B" w14:textId="77777777" w:rsidR="00160338" w:rsidRPr="0065554C" w:rsidRDefault="00160338" w:rsidP="002B0C6C">
                  <w:pPr>
                    <w:ind w:right="333"/>
                    <w:rPr>
                      <w:rFonts w:ascii="Calibri" w:eastAsia="Calibri" w:hAnsi="Calibri" w:cs="Calibri"/>
                      <w:szCs w:val="20"/>
                      <w:lang w:val="es-MX"/>
                    </w:rPr>
                  </w:pPr>
                  <w:r w:rsidRPr="0065554C">
                    <w:rPr>
                      <w:rFonts w:ascii="Calibri" w:eastAsia="Calibri" w:hAnsi="Calibri" w:cs="Calibri"/>
                      <w:szCs w:val="20"/>
                      <w:lang w:val="es-MX"/>
                    </w:rPr>
                    <w:t>Oferta de Venta 4</w:t>
                  </w:r>
                </w:p>
              </w:tc>
              <w:tc>
                <w:tcPr>
                  <w:tcW w:w="1518" w:type="dxa"/>
                  <w:shd w:val="clear" w:color="auto" w:fill="FFFFFF" w:themeFill="background1"/>
                </w:tcPr>
                <w:p w14:paraId="55CBDD5C" w14:textId="77777777" w:rsidR="00160338" w:rsidRPr="0065554C" w:rsidRDefault="00160338" w:rsidP="002B0C6C">
                  <w:pPr>
                    <w:ind w:right="333"/>
                    <w:rPr>
                      <w:rFonts w:ascii="Calibri" w:eastAsia="Calibri" w:hAnsi="Calibri" w:cs="Calibri"/>
                      <w:szCs w:val="20"/>
                      <w:lang w:val="es-MX"/>
                    </w:rPr>
                  </w:pPr>
                  <w:r w:rsidRPr="0065554C">
                    <w:rPr>
                      <w:rFonts w:ascii="Calibri" w:eastAsia="Calibri" w:hAnsi="Calibri" w:cs="Calibri"/>
                      <w:szCs w:val="20"/>
                      <w:lang w:val="es-MX"/>
                    </w:rPr>
                    <w:t>Oferta de Venta 5</w:t>
                  </w:r>
                </w:p>
              </w:tc>
            </w:tr>
            <w:tr w:rsidR="0065554C" w:rsidRPr="0065554C" w14:paraId="2A92185E" w14:textId="77777777" w:rsidTr="005D0817">
              <w:tc>
                <w:tcPr>
                  <w:tcW w:w="1517" w:type="dxa"/>
                  <w:shd w:val="clear" w:color="auto" w:fill="FFFFFF" w:themeFill="background1"/>
                </w:tcPr>
                <w:p w14:paraId="2D5A338B" w14:textId="77777777" w:rsidR="00160338" w:rsidRPr="0065554C" w:rsidRDefault="00160338" w:rsidP="002B0C6C">
                  <w:pPr>
                    <w:ind w:right="333"/>
                    <w:rPr>
                      <w:rFonts w:ascii="Calibri" w:eastAsia="Calibri" w:hAnsi="Calibri" w:cs="Calibri"/>
                      <w:szCs w:val="20"/>
                      <w:lang w:val="es-MX"/>
                    </w:rPr>
                  </w:pPr>
                  <w:r w:rsidRPr="0065554C">
                    <w:rPr>
                      <w:rFonts w:ascii="Calibri" w:eastAsia="Calibri" w:hAnsi="Calibri" w:cs="Calibri"/>
                      <w:szCs w:val="20"/>
                      <w:lang w:val="es-MX"/>
                    </w:rPr>
                    <w:t>Prioridad</w:t>
                  </w:r>
                </w:p>
              </w:tc>
              <w:tc>
                <w:tcPr>
                  <w:tcW w:w="1517" w:type="dxa"/>
                  <w:shd w:val="clear" w:color="auto" w:fill="FFFFFF" w:themeFill="background1"/>
                </w:tcPr>
                <w:p w14:paraId="787829A5" w14:textId="77777777" w:rsidR="00160338" w:rsidRPr="0065554C" w:rsidRDefault="00160338" w:rsidP="002B0C6C">
                  <w:pPr>
                    <w:ind w:right="333"/>
                    <w:rPr>
                      <w:rFonts w:ascii="Calibri" w:eastAsia="Calibri" w:hAnsi="Calibri" w:cs="Calibri"/>
                      <w:szCs w:val="20"/>
                      <w:lang w:val="es-MX"/>
                    </w:rPr>
                  </w:pPr>
                  <w:r w:rsidRPr="0065554C">
                    <w:rPr>
                      <w:rFonts w:ascii="Calibri" w:eastAsia="Calibri" w:hAnsi="Calibri" w:cs="Calibri"/>
                      <w:szCs w:val="20"/>
                      <w:lang w:val="es-MX"/>
                    </w:rPr>
                    <w:t>3</w:t>
                  </w:r>
                </w:p>
              </w:tc>
              <w:tc>
                <w:tcPr>
                  <w:tcW w:w="1518" w:type="dxa"/>
                  <w:shd w:val="clear" w:color="auto" w:fill="FFFFFF" w:themeFill="background1"/>
                </w:tcPr>
                <w:p w14:paraId="34E28A17" w14:textId="77777777" w:rsidR="00160338" w:rsidRPr="0065554C" w:rsidRDefault="00160338" w:rsidP="002B0C6C">
                  <w:pPr>
                    <w:ind w:right="333"/>
                    <w:rPr>
                      <w:rFonts w:ascii="Calibri" w:eastAsia="Calibri" w:hAnsi="Calibri" w:cs="Calibri"/>
                      <w:szCs w:val="20"/>
                      <w:lang w:val="es-MX"/>
                    </w:rPr>
                  </w:pPr>
                  <w:r w:rsidRPr="0065554C">
                    <w:rPr>
                      <w:rFonts w:ascii="Calibri" w:eastAsia="Calibri" w:hAnsi="Calibri" w:cs="Calibri"/>
                      <w:szCs w:val="20"/>
                      <w:lang w:val="es-MX"/>
                    </w:rPr>
                    <w:t>2</w:t>
                  </w:r>
                </w:p>
              </w:tc>
              <w:tc>
                <w:tcPr>
                  <w:tcW w:w="1518" w:type="dxa"/>
                  <w:shd w:val="clear" w:color="auto" w:fill="FFFFFF" w:themeFill="background1"/>
                </w:tcPr>
                <w:p w14:paraId="71D8649A" w14:textId="77777777" w:rsidR="00160338" w:rsidRPr="0065554C" w:rsidRDefault="00160338" w:rsidP="002B0C6C">
                  <w:pPr>
                    <w:ind w:right="333"/>
                    <w:rPr>
                      <w:rFonts w:ascii="Calibri" w:eastAsia="Calibri" w:hAnsi="Calibri" w:cs="Calibri"/>
                      <w:szCs w:val="20"/>
                      <w:lang w:val="es-MX"/>
                    </w:rPr>
                  </w:pPr>
                  <w:r w:rsidRPr="0065554C">
                    <w:rPr>
                      <w:rFonts w:ascii="Calibri" w:eastAsia="Calibri" w:hAnsi="Calibri" w:cs="Calibri"/>
                      <w:szCs w:val="20"/>
                      <w:lang w:val="es-MX"/>
                    </w:rPr>
                    <w:t>5</w:t>
                  </w:r>
                </w:p>
              </w:tc>
              <w:tc>
                <w:tcPr>
                  <w:tcW w:w="1518" w:type="dxa"/>
                  <w:shd w:val="clear" w:color="auto" w:fill="FFFFFF" w:themeFill="background1"/>
                </w:tcPr>
                <w:p w14:paraId="15985664" w14:textId="77777777" w:rsidR="00160338" w:rsidRPr="0065554C" w:rsidRDefault="00160338" w:rsidP="002B0C6C">
                  <w:pPr>
                    <w:ind w:right="333"/>
                    <w:rPr>
                      <w:rFonts w:ascii="Calibri" w:eastAsia="Calibri" w:hAnsi="Calibri" w:cs="Calibri"/>
                      <w:szCs w:val="20"/>
                      <w:lang w:val="es-MX"/>
                    </w:rPr>
                  </w:pPr>
                  <w:r w:rsidRPr="0065554C">
                    <w:rPr>
                      <w:rFonts w:ascii="Calibri" w:eastAsia="Calibri" w:hAnsi="Calibri" w:cs="Calibri"/>
                      <w:szCs w:val="20"/>
                      <w:lang w:val="es-MX"/>
                    </w:rPr>
                    <w:t>4</w:t>
                  </w:r>
                </w:p>
              </w:tc>
              <w:tc>
                <w:tcPr>
                  <w:tcW w:w="1518" w:type="dxa"/>
                  <w:shd w:val="clear" w:color="auto" w:fill="FFFFFF" w:themeFill="background1"/>
                </w:tcPr>
                <w:p w14:paraId="10370A48" w14:textId="77777777" w:rsidR="00160338" w:rsidRPr="0065554C" w:rsidRDefault="00160338" w:rsidP="002B0C6C">
                  <w:pPr>
                    <w:ind w:right="333"/>
                    <w:rPr>
                      <w:rFonts w:ascii="Calibri" w:eastAsia="Calibri" w:hAnsi="Calibri" w:cs="Calibri"/>
                      <w:szCs w:val="20"/>
                      <w:lang w:val="es-MX"/>
                    </w:rPr>
                  </w:pPr>
                  <w:r w:rsidRPr="0065554C">
                    <w:rPr>
                      <w:rFonts w:ascii="Calibri" w:eastAsia="Calibri" w:hAnsi="Calibri" w:cs="Calibri"/>
                      <w:szCs w:val="20"/>
                      <w:lang w:val="es-MX"/>
                    </w:rPr>
                    <w:t>1</w:t>
                  </w:r>
                </w:p>
              </w:tc>
            </w:tr>
          </w:tbl>
          <w:p w14:paraId="41BD8811" w14:textId="77777777" w:rsidR="00160338" w:rsidRPr="0065554C" w:rsidRDefault="00160338" w:rsidP="002B0C6C">
            <w:pPr>
              <w:ind w:right="333"/>
              <w:rPr>
                <w:rFonts w:ascii="Calibri" w:eastAsia="Calibri" w:hAnsi="Calibri" w:cs="Calibri"/>
                <w:szCs w:val="20"/>
              </w:rPr>
            </w:pPr>
            <w:r w:rsidRPr="0065554C">
              <w:rPr>
                <w:rFonts w:ascii="Calibri" w:eastAsia="Calibri" w:hAnsi="Calibri" w:cs="Calibri"/>
                <w:szCs w:val="20"/>
              </w:rPr>
              <w:t xml:space="preserve">Supongamos que el </w:t>
            </w:r>
            <w:r w:rsidR="00903C2A" w:rsidRPr="0065554C">
              <w:rPr>
                <w:rFonts w:ascii="Calibri" w:eastAsia="Calibri" w:hAnsi="Calibri" w:cs="Calibri"/>
                <w:szCs w:val="20"/>
              </w:rPr>
              <w:t>Licitante</w:t>
            </w:r>
            <w:r w:rsidRPr="0065554C">
              <w:rPr>
                <w:rFonts w:ascii="Calibri" w:eastAsia="Calibri" w:hAnsi="Calibri" w:cs="Calibri"/>
                <w:szCs w:val="20"/>
              </w:rPr>
              <w:t xml:space="preserve"> recibió Dictamen Favorable para todas las Ofertas de Venta que deseaba presentar, pero después decide que sólo quiere presentar Garantías de Seriedad para las Ofertas de Venta 1, 2 y 3. Para ello, el </w:t>
            </w:r>
            <w:r w:rsidR="005D0817" w:rsidRPr="0065554C">
              <w:rPr>
                <w:rFonts w:ascii="Calibri" w:eastAsia="Calibri" w:hAnsi="Calibri" w:cs="Calibri"/>
                <w:szCs w:val="20"/>
              </w:rPr>
              <w:t>Licitante</w:t>
            </w:r>
            <w:r w:rsidRPr="0065554C">
              <w:rPr>
                <w:rFonts w:ascii="Calibri" w:eastAsia="Calibri" w:hAnsi="Calibri" w:cs="Calibri"/>
                <w:szCs w:val="20"/>
              </w:rPr>
              <w:t xml:space="preserve"> deberá solicitar al CENACE, mediante un escrito en formato libre, desistirse de las solicitudes de precalificación para las Ofertas de Venta 4 y 5, quedando el nuevo orden de prioridad de la siguiente forma:</w:t>
            </w:r>
          </w:p>
          <w:tbl>
            <w:tblPr>
              <w:tblStyle w:val="Tablaconcuadrcula"/>
              <w:tblW w:w="0" w:type="auto"/>
              <w:tblLayout w:type="fixed"/>
              <w:tblLook w:val="04A0" w:firstRow="1" w:lastRow="0" w:firstColumn="1" w:lastColumn="0" w:noHBand="0" w:noVBand="1"/>
            </w:tblPr>
            <w:tblGrid>
              <w:gridCol w:w="1517"/>
              <w:gridCol w:w="1517"/>
              <w:gridCol w:w="1518"/>
              <w:gridCol w:w="1518"/>
              <w:gridCol w:w="1518"/>
              <w:gridCol w:w="1518"/>
            </w:tblGrid>
            <w:tr w:rsidR="0065554C" w:rsidRPr="0065554C" w14:paraId="60C046FE" w14:textId="77777777" w:rsidTr="005D0817">
              <w:tc>
                <w:tcPr>
                  <w:tcW w:w="1517" w:type="dxa"/>
                  <w:shd w:val="clear" w:color="auto" w:fill="FFFFFF" w:themeFill="background1"/>
                </w:tcPr>
                <w:p w14:paraId="1F19DDAD" w14:textId="77777777" w:rsidR="00160338" w:rsidRPr="0065554C" w:rsidRDefault="00160338" w:rsidP="002B0C6C">
                  <w:pPr>
                    <w:ind w:right="333"/>
                    <w:rPr>
                      <w:rFonts w:ascii="Calibri" w:hAnsi="Calibri"/>
                      <w:lang w:val="es-MX"/>
                    </w:rPr>
                  </w:pPr>
                  <w:r w:rsidRPr="0065554C">
                    <w:rPr>
                      <w:rFonts w:ascii="Calibri" w:hAnsi="Calibri"/>
                    </w:rPr>
                    <w:t>Oferta de Venta</w:t>
                  </w:r>
                </w:p>
              </w:tc>
              <w:tc>
                <w:tcPr>
                  <w:tcW w:w="1517" w:type="dxa"/>
                  <w:shd w:val="clear" w:color="auto" w:fill="FFFFFF" w:themeFill="background1"/>
                </w:tcPr>
                <w:p w14:paraId="3E5A0619" w14:textId="77777777" w:rsidR="00160338" w:rsidRPr="0065554C" w:rsidRDefault="00160338" w:rsidP="002B0C6C">
                  <w:pPr>
                    <w:ind w:right="333"/>
                    <w:rPr>
                      <w:rFonts w:ascii="Calibri" w:hAnsi="Calibri"/>
                      <w:lang w:val="es-MX"/>
                    </w:rPr>
                  </w:pPr>
                  <w:r w:rsidRPr="0065554C">
                    <w:rPr>
                      <w:rFonts w:ascii="Calibri" w:hAnsi="Calibri"/>
                    </w:rPr>
                    <w:t>Oferta de Venta 1</w:t>
                  </w:r>
                </w:p>
              </w:tc>
              <w:tc>
                <w:tcPr>
                  <w:tcW w:w="1518" w:type="dxa"/>
                  <w:shd w:val="clear" w:color="auto" w:fill="FFFFFF" w:themeFill="background1"/>
                </w:tcPr>
                <w:p w14:paraId="1EA8B52A" w14:textId="77777777" w:rsidR="00160338" w:rsidRPr="0065554C" w:rsidRDefault="00160338" w:rsidP="002B0C6C">
                  <w:pPr>
                    <w:ind w:right="333"/>
                    <w:rPr>
                      <w:rFonts w:ascii="Calibri" w:hAnsi="Calibri"/>
                      <w:lang w:val="es-MX"/>
                    </w:rPr>
                  </w:pPr>
                  <w:r w:rsidRPr="0065554C">
                    <w:rPr>
                      <w:rFonts w:ascii="Calibri" w:hAnsi="Calibri"/>
                    </w:rPr>
                    <w:t>Oferta de Venta 2</w:t>
                  </w:r>
                </w:p>
              </w:tc>
              <w:tc>
                <w:tcPr>
                  <w:tcW w:w="1518" w:type="dxa"/>
                  <w:shd w:val="clear" w:color="auto" w:fill="FFFFFF" w:themeFill="background1"/>
                </w:tcPr>
                <w:p w14:paraId="493ADC0E" w14:textId="77777777" w:rsidR="00160338" w:rsidRPr="0065554C" w:rsidRDefault="00160338" w:rsidP="002B0C6C">
                  <w:pPr>
                    <w:ind w:right="333"/>
                    <w:rPr>
                      <w:rFonts w:ascii="Calibri" w:hAnsi="Calibri"/>
                      <w:lang w:val="es-MX"/>
                    </w:rPr>
                  </w:pPr>
                  <w:r w:rsidRPr="0065554C">
                    <w:rPr>
                      <w:rFonts w:ascii="Calibri" w:hAnsi="Calibri"/>
                    </w:rPr>
                    <w:t>Oferta de Venta 3</w:t>
                  </w:r>
                </w:p>
              </w:tc>
              <w:tc>
                <w:tcPr>
                  <w:tcW w:w="1518" w:type="dxa"/>
                  <w:shd w:val="clear" w:color="auto" w:fill="FFFFFF" w:themeFill="background1"/>
                </w:tcPr>
                <w:p w14:paraId="7218F015" w14:textId="77777777" w:rsidR="00160338" w:rsidRPr="0065554C" w:rsidRDefault="00160338" w:rsidP="002B0C6C">
                  <w:pPr>
                    <w:ind w:right="333"/>
                    <w:rPr>
                      <w:rFonts w:ascii="Calibri" w:hAnsi="Calibri"/>
                      <w:lang w:val="es-MX"/>
                    </w:rPr>
                  </w:pPr>
                  <w:r w:rsidRPr="0065554C">
                    <w:rPr>
                      <w:rFonts w:ascii="Calibri" w:hAnsi="Calibri"/>
                    </w:rPr>
                    <w:t>Oferta de Venta 4</w:t>
                  </w:r>
                </w:p>
              </w:tc>
              <w:tc>
                <w:tcPr>
                  <w:tcW w:w="1518" w:type="dxa"/>
                  <w:shd w:val="clear" w:color="auto" w:fill="FFFFFF" w:themeFill="background1"/>
                </w:tcPr>
                <w:p w14:paraId="41BF3E27" w14:textId="77777777" w:rsidR="00160338" w:rsidRPr="0065554C" w:rsidRDefault="00160338" w:rsidP="002B0C6C">
                  <w:pPr>
                    <w:ind w:right="333"/>
                    <w:rPr>
                      <w:rFonts w:ascii="Calibri" w:hAnsi="Calibri"/>
                      <w:lang w:val="es-MX"/>
                    </w:rPr>
                  </w:pPr>
                  <w:r w:rsidRPr="0065554C">
                    <w:rPr>
                      <w:rFonts w:ascii="Calibri" w:hAnsi="Calibri"/>
                    </w:rPr>
                    <w:t>Oferta de Venta 5</w:t>
                  </w:r>
                </w:p>
              </w:tc>
            </w:tr>
            <w:tr w:rsidR="0065554C" w:rsidRPr="0065554C" w14:paraId="123C7C32" w14:textId="77777777" w:rsidTr="005D0817">
              <w:tc>
                <w:tcPr>
                  <w:tcW w:w="1517" w:type="dxa"/>
                  <w:shd w:val="clear" w:color="auto" w:fill="FFFFFF" w:themeFill="background1"/>
                </w:tcPr>
                <w:p w14:paraId="4B705C88" w14:textId="77777777" w:rsidR="00160338" w:rsidRPr="0065554C" w:rsidRDefault="00160338" w:rsidP="002B0C6C">
                  <w:pPr>
                    <w:ind w:right="333"/>
                    <w:rPr>
                      <w:rFonts w:ascii="Calibri" w:hAnsi="Calibri"/>
                      <w:lang w:val="es-MX"/>
                    </w:rPr>
                  </w:pPr>
                  <w:r w:rsidRPr="0065554C">
                    <w:rPr>
                      <w:rFonts w:ascii="Calibri" w:hAnsi="Calibri"/>
                    </w:rPr>
                    <w:t>Prioridad</w:t>
                  </w:r>
                </w:p>
              </w:tc>
              <w:tc>
                <w:tcPr>
                  <w:tcW w:w="1517" w:type="dxa"/>
                  <w:shd w:val="clear" w:color="auto" w:fill="FFFFFF" w:themeFill="background1"/>
                </w:tcPr>
                <w:p w14:paraId="309ABA94" w14:textId="77777777" w:rsidR="00160338" w:rsidRPr="0065554C" w:rsidRDefault="00160338" w:rsidP="002B0C6C">
                  <w:pPr>
                    <w:ind w:right="333"/>
                    <w:rPr>
                      <w:rFonts w:ascii="Calibri" w:hAnsi="Calibri"/>
                      <w:lang w:val="es-MX"/>
                    </w:rPr>
                  </w:pPr>
                  <w:r w:rsidRPr="0065554C">
                    <w:rPr>
                      <w:rFonts w:ascii="Calibri" w:hAnsi="Calibri"/>
                    </w:rPr>
                    <w:t>2</w:t>
                  </w:r>
                </w:p>
              </w:tc>
              <w:tc>
                <w:tcPr>
                  <w:tcW w:w="1518" w:type="dxa"/>
                  <w:shd w:val="clear" w:color="auto" w:fill="FFFFFF" w:themeFill="background1"/>
                </w:tcPr>
                <w:p w14:paraId="3AF48C31" w14:textId="77777777" w:rsidR="00160338" w:rsidRPr="0065554C" w:rsidRDefault="00160338" w:rsidP="002B0C6C">
                  <w:pPr>
                    <w:ind w:right="333"/>
                    <w:rPr>
                      <w:rFonts w:ascii="Calibri" w:hAnsi="Calibri"/>
                      <w:lang w:val="es-MX"/>
                    </w:rPr>
                  </w:pPr>
                  <w:r w:rsidRPr="0065554C">
                    <w:rPr>
                      <w:rFonts w:ascii="Calibri" w:hAnsi="Calibri"/>
                    </w:rPr>
                    <w:t>1</w:t>
                  </w:r>
                </w:p>
              </w:tc>
              <w:tc>
                <w:tcPr>
                  <w:tcW w:w="1518" w:type="dxa"/>
                  <w:shd w:val="clear" w:color="auto" w:fill="FFFFFF" w:themeFill="background1"/>
                </w:tcPr>
                <w:p w14:paraId="52B31821" w14:textId="77777777" w:rsidR="00160338" w:rsidRPr="0065554C" w:rsidRDefault="00160338" w:rsidP="002B0C6C">
                  <w:pPr>
                    <w:ind w:right="333"/>
                    <w:rPr>
                      <w:rFonts w:ascii="Calibri" w:hAnsi="Calibri"/>
                      <w:lang w:val="es-MX"/>
                    </w:rPr>
                  </w:pPr>
                  <w:r w:rsidRPr="0065554C">
                    <w:rPr>
                      <w:rFonts w:ascii="Calibri" w:hAnsi="Calibri"/>
                    </w:rPr>
                    <w:t>3</w:t>
                  </w:r>
                </w:p>
              </w:tc>
              <w:tc>
                <w:tcPr>
                  <w:tcW w:w="1518" w:type="dxa"/>
                  <w:shd w:val="clear" w:color="auto" w:fill="FFFFFF" w:themeFill="background1"/>
                </w:tcPr>
                <w:p w14:paraId="3BB18C25" w14:textId="77777777" w:rsidR="00160338" w:rsidRPr="0065554C" w:rsidRDefault="00160338" w:rsidP="002B0C6C">
                  <w:pPr>
                    <w:ind w:right="333"/>
                    <w:rPr>
                      <w:rFonts w:ascii="Calibri" w:hAnsi="Calibri"/>
                      <w:lang w:val="es-MX"/>
                    </w:rPr>
                  </w:pPr>
                  <w:r w:rsidRPr="0065554C">
                    <w:rPr>
                      <w:rFonts w:ascii="Calibri" w:hAnsi="Calibri"/>
                    </w:rPr>
                    <w:t>X</w:t>
                  </w:r>
                </w:p>
              </w:tc>
              <w:tc>
                <w:tcPr>
                  <w:tcW w:w="1518" w:type="dxa"/>
                  <w:shd w:val="clear" w:color="auto" w:fill="FFFFFF" w:themeFill="background1"/>
                </w:tcPr>
                <w:p w14:paraId="255A3F56" w14:textId="77777777" w:rsidR="00160338" w:rsidRPr="0065554C" w:rsidRDefault="00160338" w:rsidP="002B0C6C">
                  <w:pPr>
                    <w:ind w:right="333"/>
                    <w:rPr>
                      <w:rFonts w:ascii="Calibri" w:hAnsi="Calibri"/>
                      <w:lang w:val="es-MX"/>
                    </w:rPr>
                  </w:pPr>
                  <w:r w:rsidRPr="0065554C">
                    <w:rPr>
                      <w:rFonts w:ascii="Calibri" w:hAnsi="Calibri"/>
                    </w:rPr>
                    <w:t>X</w:t>
                  </w:r>
                </w:p>
              </w:tc>
            </w:tr>
          </w:tbl>
          <w:p w14:paraId="35753540" w14:textId="77777777" w:rsidR="00160338" w:rsidRPr="0065554C" w:rsidRDefault="00160338">
            <w:pPr>
              <w:spacing w:before="0" w:after="0"/>
              <w:ind w:right="335"/>
              <w:rPr>
                <w:rFonts w:ascii="Calibri" w:eastAsia="Calibri" w:hAnsi="Calibri" w:cs="Calibri"/>
                <w:szCs w:val="20"/>
              </w:rPr>
            </w:pPr>
            <w:r w:rsidRPr="0065554C">
              <w:rPr>
                <w:rFonts w:ascii="Calibri" w:eastAsia="Calibri" w:hAnsi="Calibri" w:cs="Calibri"/>
                <w:szCs w:val="20"/>
              </w:rPr>
              <w:t xml:space="preserve"> </w:t>
            </w:r>
            <w:r w:rsidRPr="0065554C">
              <w:rPr>
                <w:rFonts w:ascii="Calibri" w:eastAsia="Calibri" w:hAnsi="Calibri" w:cs="Calibri"/>
                <w:sz w:val="14"/>
                <w:szCs w:val="20"/>
              </w:rPr>
              <w:t xml:space="preserve"> </w:t>
            </w:r>
          </w:p>
        </w:tc>
      </w:tr>
    </w:tbl>
    <w:p w14:paraId="4FF1B2E2" w14:textId="77777777" w:rsidR="00160338" w:rsidRPr="0065554C" w:rsidRDefault="00160338" w:rsidP="00160338">
      <w:pPr>
        <w:pStyle w:val="Seccin"/>
      </w:pPr>
      <w:bookmarkStart w:id="452" w:name="_Toc479255738"/>
      <w:bookmarkStart w:id="453" w:name="_Toc479763787"/>
      <w:bookmarkStart w:id="454" w:name="_Toc509413026"/>
      <w:r w:rsidRPr="0065554C">
        <w:t xml:space="preserve">Modificaciones a las solicitudes de </w:t>
      </w:r>
      <w:r w:rsidR="008F4D7F" w:rsidRPr="0065554C">
        <w:t>P</w:t>
      </w:r>
      <w:r w:rsidRPr="0065554C">
        <w:t>recalificación de Ofertas de Venta</w:t>
      </w:r>
      <w:bookmarkEnd w:id="452"/>
      <w:bookmarkEnd w:id="453"/>
      <w:bookmarkEnd w:id="454"/>
    </w:p>
    <w:p w14:paraId="0668792C" w14:textId="77777777" w:rsidR="00160338" w:rsidRPr="0065554C" w:rsidRDefault="00160338" w:rsidP="005E311D">
      <w:pPr>
        <w:pStyle w:val="Numeral"/>
      </w:pPr>
      <w:r w:rsidRPr="0065554C">
        <w:t xml:space="preserve">Durante el periodo de evaluación de las solicitudes de precalificación de Ofertas de Venta, el CENACE podrá </w:t>
      </w:r>
      <w:r w:rsidR="006A755A" w:rsidRPr="0065554C">
        <w:t>solicitar</w:t>
      </w:r>
      <w:r w:rsidRPr="0065554C">
        <w:t xml:space="preserve"> a los </w:t>
      </w:r>
      <w:r w:rsidR="005D0817" w:rsidRPr="0065554C">
        <w:t>Licitantes</w:t>
      </w:r>
      <w:r w:rsidRPr="0065554C">
        <w:t xml:space="preserve"> </w:t>
      </w:r>
      <w:r w:rsidR="006A755A" w:rsidRPr="0065554C">
        <w:t xml:space="preserve">a través del requerimiento de información </w:t>
      </w:r>
      <w:r w:rsidR="006A755A" w:rsidRPr="0065554C">
        <w:lastRenderedPageBreak/>
        <w:t xml:space="preserve">complementaria </w:t>
      </w:r>
      <w:r w:rsidRPr="0065554C">
        <w:t xml:space="preserve">que existe la necesidad de modificar determinada información o aspecto de las solicitudes de precalificación de Ofertas de Venta que ya hayan sido presentadas a través del Sitio a fin de que las mismas sean coherentes o consistentes con nueva información que se haga del conocimiento de los </w:t>
      </w:r>
      <w:r w:rsidR="005D0817" w:rsidRPr="0065554C">
        <w:t>Licitantes</w:t>
      </w:r>
      <w:r w:rsidRPr="0065554C">
        <w:t>.</w:t>
      </w:r>
      <w:r w:rsidR="005D0817" w:rsidRPr="0065554C">
        <w:t xml:space="preserve"> En</w:t>
      </w:r>
      <w:r w:rsidRPr="0065554C">
        <w:t xml:space="preserve"> ese supuesto, el CENACE informará a los </w:t>
      </w:r>
      <w:r w:rsidR="005D0817" w:rsidRPr="0065554C">
        <w:t>Licitantes</w:t>
      </w:r>
      <w:r w:rsidRPr="0065554C">
        <w:t xml:space="preserve"> la fecha o el plazo en que el Sitio se abrirá para que los </w:t>
      </w:r>
      <w:r w:rsidR="005D0817" w:rsidRPr="0065554C">
        <w:t>Licitantes</w:t>
      </w:r>
      <w:r w:rsidRPr="0065554C">
        <w:t xml:space="preserve"> puedan realizar las modificaciones correspondientes. Los </w:t>
      </w:r>
      <w:r w:rsidR="005D0817" w:rsidRPr="0065554C">
        <w:t>Licitantes</w:t>
      </w:r>
      <w:r w:rsidRPr="0065554C">
        <w:t xml:space="preserve"> que no realicen modificaciones en esa fecha o plazo, perderán el derecho para hacerlo y sus solicitudes de precalificación de Ofertas de Venta serán evaluadas en los términos en que se encuentren presentadas en el Sitio.</w:t>
      </w:r>
    </w:p>
    <w:p w14:paraId="70FD4421" w14:textId="77777777" w:rsidR="00160338" w:rsidRPr="0065554C" w:rsidRDefault="00160338" w:rsidP="005E311D">
      <w:pPr>
        <w:pStyle w:val="Numeral"/>
      </w:pPr>
      <w:r w:rsidRPr="0065554C">
        <w:t xml:space="preserve">Para modificar las solicitudes de precalificación de Oferta de Venta en los términos señalados en el numeral anterior, los </w:t>
      </w:r>
      <w:r w:rsidR="005308C3" w:rsidRPr="0065554C">
        <w:t>Licitantes</w:t>
      </w:r>
      <w:r w:rsidRPr="0065554C">
        <w:t xml:space="preserve"> deberán ingresar a través del Sitio los nuevos datos que les permitan acreditar la capacidad solicitada. Los </w:t>
      </w:r>
      <w:r w:rsidR="005308C3" w:rsidRPr="0065554C">
        <w:t>Licitantes</w:t>
      </w:r>
      <w:r w:rsidRPr="0065554C">
        <w:t xml:space="preserve"> sólo podrán modificar los datos o documentos expresamente señalados por el CENACE en la notificación referida en el numeral anterior. Si el </w:t>
      </w:r>
      <w:r w:rsidR="00903C2A" w:rsidRPr="0065554C">
        <w:t>Licitante</w:t>
      </w:r>
      <w:r w:rsidRPr="0065554C">
        <w:t xml:space="preserve"> modifica algún dato o documento que no haya sido expresamente señalado en la notificación referida, el CENACE no emitirá la Constancia de Precalificación para esa Oferta de Venta, o bien, dejará sin efectos la Constancia de Precalificación que hubiere emitido, toda vez que se considerará que la solicitud correspondiente ha sido alterada en contravención a lo previsto en las Bases de Licitación.</w:t>
      </w:r>
    </w:p>
    <w:p w14:paraId="3F2B9A34" w14:textId="77777777" w:rsidR="00160338" w:rsidRPr="0065554C" w:rsidRDefault="00160338" w:rsidP="005E311D">
      <w:pPr>
        <w:pStyle w:val="Numeral"/>
      </w:pPr>
      <w:r w:rsidRPr="0065554C">
        <w:t>S</w:t>
      </w:r>
      <w:r w:rsidR="00304FA1" w:rsidRPr="0065554C">
        <w:t>o</w:t>
      </w:r>
      <w:r w:rsidRPr="0065554C">
        <w:t>lo se podrán modificar las solicitudes de precalificación de Oferta de Venta en los siguientes supuestos:</w:t>
      </w:r>
    </w:p>
    <w:p w14:paraId="06C78C3E" w14:textId="77777777" w:rsidR="00160338" w:rsidRPr="0065554C" w:rsidRDefault="00160338" w:rsidP="005E311D">
      <w:pPr>
        <w:pStyle w:val="Inciso"/>
      </w:pPr>
      <w:r w:rsidRPr="0065554C">
        <w:t>Debido a la solicitud de CENACE, derivad</w:t>
      </w:r>
      <w:r w:rsidR="000D3EE0" w:rsidRPr="0065554C">
        <w:t>a</w:t>
      </w:r>
      <w:r w:rsidRPr="0065554C">
        <w:t xml:space="preserve"> de un requerimiento de información complementaria durante el proceso de precalificación de Ofertas de Venta. En este caso los datos que se podrán modificar en el Sitio son los siguientes:</w:t>
      </w:r>
    </w:p>
    <w:p w14:paraId="305BE7B6" w14:textId="77777777" w:rsidR="00160338" w:rsidRPr="0065554C" w:rsidRDefault="00160338" w:rsidP="005E311D">
      <w:pPr>
        <w:pStyle w:val="Subinciso"/>
      </w:pPr>
      <w:r w:rsidRPr="0065554C">
        <w:t xml:space="preserve">Se permitirá el cambio de la Zona de Interconexión cuando en el </w:t>
      </w:r>
      <w:r w:rsidRPr="0065554C">
        <w:rPr>
          <w:b/>
        </w:rPr>
        <w:t>Anexo II.4</w:t>
      </w:r>
      <w:r w:rsidRPr="0065554C">
        <w:t xml:space="preserve"> se determine que no existe la Zona de Interconexión elegida por el </w:t>
      </w:r>
      <w:r w:rsidR="00903C2A" w:rsidRPr="0065554C">
        <w:t>Licitante</w:t>
      </w:r>
      <w:r w:rsidRPr="0065554C">
        <w:t>.</w:t>
      </w:r>
    </w:p>
    <w:p w14:paraId="50D50C01" w14:textId="77777777" w:rsidR="00160338" w:rsidRPr="0065554C" w:rsidRDefault="00160338" w:rsidP="005E311D">
      <w:pPr>
        <w:pStyle w:val="Subinciso"/>
      </w:pPr>
      <w:r w:rsidRPr="0065554C">
        <w:t xml:space="preserve">Se permitirá el cambio de la Zona de Precio cuando se determine que la zona seleccionada no cumple con los criterios definidos en el </w:t>
      </w:r>
      <w:r w:rsidRPr="0065554C">
        <w:rPr>
          <w:b/>
        </w:rPr>
        <w:t>Anexo II.6</w:t>
      </w:r>
      <w:r w:rsidRPr="0065554C">
        <w:t>.</w:t>
      </w:r>
    </w:p>
    <w:p w14:paraId="183A68DE" w14:textId="77777777" w:rsidR="00160338" w:rsidRPr="0065554C" w:rsidRDefault="00160338" w:rsidP="005E311D">
      <w:pPr>
        <w:pStyle w:val="Subinciso"/>
      </w:pPr>
      <w:r w:rsidRPr="0065554C">
        <w:t>Se permitirá la modificación de las experiencias financieras</w:t>
      </w:r>
      <w:r w:rsidR="000147C1" w:rsidRPr="0065554C">
        <w:t>,</w:t>
      </w:r>
      <w:r w:rsidRPr="0065554C">
        <w:t xml:space="preserve"> técnica y de ejecución cuando las experiencias presentadas no cumplan con los requisitos mínimos solicitados.</w:t>
      </w:r>
    </w:p>
    <w:p w14:paraId="13D5D2B6" w14:textId="77777777" w:rsidR="00160338" w:rsidRPr="0065554C" w:rsidRDefault="00160338" w:rsidP="005E311D">
      <w:pPr>
        <w:pStyle w:val="Inciso"/>
      </w:pPr>
      <w:r w:rsidRPr="0065554C">
        <w:t xml:space="preserve">Debido a la actualización de los </w:t>
      </w:r>
      <w:r w:rsidRPr="0065554C">
        <w:rPr>
          <w:b/>
        </w:rPr>
        <w:t>Anexos II.1 y II.4</w:t>
      </w:r>
      <w:r w:rsidRPr="0065554C">
        <w:t>, en términos de disminución de las capacidades referidas en dichos anexos.</w:t>
      </w:r>
    </w:p>
    <w:p w14:paraId="0D013D3A" w14:textId="77777777" w:rsidR="00160338" w:rsidRPr="0065554C" w:rsidRDefault="00160338" w:rsidP="005E311D">
      <w:pPr>
        <w:pStyle w:val="Numeral"/>
      </w:pPr>
      <w:r w:rsidRPr="0065554C">
        <w:t xml:space="preserve">Una vez emitido y notificado el Dictamen Favorable o el Dictamen No Favorable, no será posible realizar cambios en la solicitud de precalificación de Oferta de Venta correspondiente, salvo si al realizarse la actualización del </w:t>
      </w:r>
      <w:r w:rsidRPr="0065554C">
        <w:rPr>
          <w:b/>
        </w:rPr>
        <w:t>Anexo</w:t>
      </w:r>
      <w:r w:rsidRPr="0065554C">
        <w:t xml:space="preserve"> </w:t>
      </w:r>
      <w:r w:rsidRPr="0065554C">
        <w:rPr>
          <w:b/>
        </w:rPr>
        <w:t>II.4</w:t>
      </w:r>
      <w:r w:rsidRPr="0065554C">
        <w:t xml:space="preserve"> prevista en el numeral 2.3.2 se reduce la capacidad de interconexión de la Zona de Interconexión a la que pertenece una Oferta de Venta ya presentada, en los términos del numeral siguiente.</w:t>
      </w:r>
    </w:p>
    <w:p w14:paraId="03969AE3" w14:textId="77777777" w:rsidR="00160338" w:rsidRPr="0065554C" w:rsidRDefault="00160338" w:rsidP="005E311D">
      <w:pPr>
        <w:pStyle w:val="Numeral"/>
      </w:pPr>
      <w:r w:rsidRPr="0065554C">
        <w:lastRenderedPageBreak/>
        <w:t xml:space="preserve">La modificación de la Oferta de Venta tras la actualización del </w:t>
      </w:r>
      <w:r w:rsidRPr="0065554C">
        <w:rPr>
          <w:b/>
        </w:rPr>
        <w:t>Anexo II.4</w:t>
      </w:r>
      <w:r w:rsidRPr="0065554C">
        <w:t xml:space="preserve"> sólo podrá consistir en una reducción de la Capacidad Instalada o número de unidades generadoras de las Centrales Eléctricas asociadas a la Oferta de Venta que se pretende presentar en la Subasta y de las cantidades de cada uno de los Productos incluidos originalmente para esa Oferta de Venta, en forma correspondiente a la disminución de la capacidad de interconexión en la zona de que se trate. Los valores que se utilicen para reducir estos parámetros prevalecerán sobre los que se presentaron en el </w:t>
      </w:r>
      <w:r w:rsidRPr="0065554C">
        <w:rPr>
          <w:b/>
        </w:rPr>
        <w:t>Anexo V.10</w:t>
      </w:r>
      <w:r w:rsidRPr="0065554C">
        <w:t>.</w:t>
      </w:r>
    </w:p>
    <w:p w14:paraId="43C0AE83" w14:textId="77777777" w:rsidR="00160338" w:rsidRPr="0065554C" w:rsidRDefault="00160338" w:rsidP="005E311D">
      <w:pPr>
        <w:pStyle w:val="Numeral"/>
      </w:pPr>
      <w:r w:rsidRPr="0065554C">
        <w:t xml:space="preserve">Para modificar su oferta técnica en los términos señalados en los numerales anteriores, el </w:t>
      </w:r>
      <w:r w:rsidR="00903C2A" w:rsidRPr="0065554C">
        <w:t>Licitante</w:t>
      </w:r>
      <w:r w:rsidRPr="0065554C">
        <w:t xml:space="preserve"> deberá ingresar a través del Sitio las nuevas cantidades de cada Producto incluido en la Oferta de Venta que desea presentar en la Subasta. La modificación deberá presentarse a más tardar </w:t>
      </w:r>
      <w:r w:rsidR="00794D87" w:rsidRPr="0065554C">
        <w:t>en el plazo establecido para ello en el calendario de la subasta</w:t>
      </w:r>
      <w:r w:rsidRPr="0065554C">
        <w:t>.</w:t>
      </w:r>
    </w:p>
    <w:p w14:paraId="51F3AC55" w14:textId="77777777" w:rsidR="00160338" w:rsidRPr="0065554C" w:rsidRDefault="00160338" w:rsidP="005E311D">
      <w:pPr>
        <w:pStyle w:val="Numeral"/>
      </w:pPr>
      <w:r w:rsidRPr="0065554C">
        <w:t>Si el CENACE ya ha emitido la Constancia de Precalificación respectiva antes de la modificación a que se refiere el numeral anterior, deberá emitir una nueva Constancia de Precalificación siempre que la modificación cumpla con lo señalado en el numeral 5.</w:t>
      </w:r>
      <w:r w:rsidR="00F57DC1" w:rsidRPr="0065554C">
        <w:t>8</w:t>
      </w:r>
      <w:r w:rsidRPr="0065554C">
        <w:t>.2. La Constancia de Precalificación más reciente dejará sin efectos a la constancia</w:t>
      </w:r>
      <w:r w:rsidR="002D0069" w:rsidRPr="0065554C">
        <w:t xml:space="preserve"> </w:t>
      </w:r>
      <w:r w:rsidRPr="0065554C">
        <w:t>previamente emitida.</w:t>
      </w:r>
    </w:p>
    <w:p w14:paraId="0C27236E" w14:textId="77777777" w:rsidR="00160338" w:rsidRPr="0065554C" w:rsidRDefault="00160338" w:rsidP="005E311D">
      <w:pPr>
        <w:pStyle w:val="Numeral"/>
      </w:pPr>
      <w:r w:rsidRPr="0065554C">
        <w:t xml:space="preserve">Si el CENACE no ha emitido la Constancia de Precalificación respectiva antes de la modificación a que se refiere el numeral anterior, deberá incluir en su evaluación las nuevas cantidades presentadas por el </w:t>
      </w:r>
      <w:r w:rsidR="00903C2A" w:rsidRPr="0065554C">
        <w:t>Licitante</w:t>
      </w:r>
      <w:r w:rsidRPr="0065554C">
        <w:t xml:space="preserve"> conforme al numeral anterior, y en su caso, emitir la Constancia de Precalificación correspondiente.</w:t>
      </w:r>
    </w:p>
    <w:p w14:paraId="5486F1AD" w14:textId="77777777" w:rsidR="00160338" w:rsidRPr="0065554C" w:rsidRDefault="00160338" w:rsidP="00361661">
      <w:pPr>
        <w:pStyle w:val="Captulo"/>
      </w:pPr>
      <w:bookmarkStart w:id="455" w:name="_Toc436433777"/>
      <w:bookmarkStart w:id="456" w:name="_Toc450052192"/>
      <w:bookmarkStart w:id="457" w:name="_Toc312964162"/>
      <w:bookmarkStart w:id="458" w:name="_Toc450201434"/>
      <w:r w:rsidRPr="0065554C">
        <w:lastRenderedPageBreak/>
        <w:br/>
      </w:r>
      <w:bookmarkStart w:id="459" w:name="_Toc436487873"/>
      <w:bookmarkStart w:id="460" w:name="_Toc450638597"/>
      <w:bookmarkStart w:id="461" w:name="_Toc479255739"/>
      <w:bookmarkStart w:id="462" w:name="_Toc454100256"/>
      <w:bookmarkStart w:id="463" w:name="_Toc479763788"/>
      <w:bookmarkStart w:id="464" w:name="_Toc509413027"/>
      <w:r w:rsidRPr="0065554C">
        <w:t>Evaluación de las Ofertas de Venta</w:t>
      </w:r>
      <w:bookmarkEnd w:id="455"/>
      <w:bookmarkEnd w:id="456"/>
      <w:bookmarkEnd w:id="457"/>
      <w:bookmarkEnd w:id="458"/>
      <w:bookmarkEnd w:id="459"/>
      <w:bookmarkEnd w:id="460"/>
      <w:bookmarkEnd w:id="461"/>
      <w:bookmarkEnd w:id="462"/>
      <w:bookmarkEnd w:id="463"/>
      <w:bookmarkEnd w:id="464"/>
    </w:p>
    <w:p w14:paraId="57F254F6" w14:textId="77777777" w:rsidR="00160338" w:rsidRPr="0065554C" w:rsidRDefault="00160338" w:rsidP="00D42E95">
      <w:pPr>
        <w:pStyle w:val="Seccin"/>
        <w:numPr>
          <w:ilvl w:val="1"/>
          <w:numId w:val="13"/>
        </w:numPr>
      </w:pPr>
      <w:bookmarkStart w:id="465" w:name="_Toc450052193"/>
      <w:bookmarkStart w:id="466" w:name="_Toc312964163"/>
      <w:bookmarkStart w:id="467" w:name="_Toc450201435"/>
      <w:bookmarkStart w:id="468" w:name="_Toc436487874"/>
      <w:bookmarkStart w:id="469" w:name="_Toc436433778"/>
      <w:bookmarkStart w:id="470" w:name="_Toc450638598"/>
      <w:bookmarkStart w:id="471" w:name="_Toc479255740"/>
      <w:bookmarkStart w:id="472" w:name="_Toc454100257"/>
      <w:bookmarkStart w:id="473" w:name="_Toc479763789"/>
      <w:bookmarkStart w:id="474" w:name="_Toc509413028"/>
      <w:r w:rsidRPr="0065554C">
        <w:t xml:space="preserve">Integración de las ofertas económicas de las </w:t>
      </w:r>
      <w:bookmarkEnd w:id="465"/>
      <w:bookmarkEnd w:id="466"/>
      <w:bookmarkEnd w:id="467"/>
      <w:r w:rsidRPr="0065554C">
        <w:t>Ofertas de Venta</w:t>
      </w:r>
      <w:bookmarkEnd w:id="468"/>
      <w:bookmarkEnd w:id="469"/>
      <w:bookmarkEnd w:id="470"/>
      <w:bookmarkEnd w:id="471"/>
      <w:bookmarkEnd w:id="472"/>
      <w:bookmarkEnd w:id="473"/>
      <w:bookmarkEnd w:id="474"/>
    </w:p>
    <w:p w14:paraId="06B2366A" w14:textId="77777777" w:rsidR="00160338" w:rsidRPr="0065554C" w:rsidRDefault="00160338" w:rsidP="005E311D">
      <w:pPr>
        <w:pStyle w:val="Numeral"/>
      </w:pPr>
      <w:r w:rsidRPr="0065554C">
        <w:t xml:space="preserve">Cada Constancia de Precalificación otorgará a su titular el derecho a presentar en la Subasta una oferta económica para cada Oferta de Venta amparada por la Constancia de Precalificación correspondiente. </w:t>
      </w:r>
    </w:p>
    <w:p w14:paraId="7DDE3A33" w14:textId="77777777" w:rsidR="00160338" w:rsidRPr="0065554C" w:rsidRDefault="00160338" w:rsidP="005E311D">
      <w:pPr>
        <w:pStyle w:val="Numeral"/>
      </w:pPr>
      <w:r w:rsidRPr="0065554C">
        <w:t xml:space="preserve">La información que haya sido presentada al CENACE para la obtención de la Constancia de Precalificación se considerará para todos los efectos legales como parte integrante de la Oferta de Venta que presente el Licitante. No será necesario presentar nuevamente al CENACE la oferta técnica de la Oferta de Venta. </w:t>
      </w:r>
    </w:p>
    <w:p w14:paraId="516BB17C" w14:textId="77777777" w:rsidR="00160338" w:rsidRPr="0065554C" w:rsidRDefault="00160338" w:rsidP="005E311D">
      <w:pPr>
        <w:pStyle w:val="Numeral"/>
      </w:pPr>
      <w:r w:rsidRPr="0065554C">
        <w:t>La oferta técnica presentada al CENACE para la obtención de la Constancia de Precalificación no podrá ser modificada mediante la presentación de la oferta económica.</w:t>
      </w:r>
    </w:p>
    <w:p w14:paraId="2B84BEBC" w14:textId="77777777" w:rsidR="00160338" w:rsidRPr="0065554C" w:rsidRDefault="00160338" w:rsidP="005E311D">
      <w:pPr>
        <w:pStyle w:val="Numeral"/>
      </w:pPr>
      <w:r w:rsidRPr="0065554C">
        <w:t xml:space="preserve">El número de Ofertas de Venta que los Licitantes podrán presentar en la Subasta estará limitado por el monto total del pago correspondiente que cada uno de ellos haya </w:t>
      </w:r>
      <w:r w:rsidR="003E41BF" w:rsidRPr="0065554C">
        <w:t xml:space="preserve">acreditado </w:t>
      </w:r>
      <w:r w:rsidRPr="0065554C">
        <w:t>en la etapa de Precalificación de Ofertas, según sea el caso, y por el monto de la Garantía de Seriedad presentada en esa etapa.</w:t>
      </w:r>
    </w:p>
    <w:p w14:paraId="1E96003A" w14:textId="77777777" w:rsidR="00160338" w:rsidRPr="0065554C" w:rsidRDefault="00160338" w:rsidP="005E311D">
      <w:pPr>
        <w:pStyle w:val="Numeral"/>
      </w:pPr>
      <w:r w:rsidRPr="0065554C">
        <w:t>La información que el Licitante deberá presentar al CENACE para la evaluación de la oferta económica de cada una de sus Ofertas de Venta se llevará a cabo en dos etapas sucesivas de conformidad con lo siguiente:</w:t>
      </w:r>
    </w:p>
    <w:p w14:paraId="7B9360F2" w14:textId="77777777" w:rsidR="00160338" w:rsidRPr="0065554C" w:rsidRDefault="00160338" w:rsidP="005E311D">
      <w:pPr>
        <w:pStyle w:val="Inciso"/>
      </w:pPr>
      <w:r w:rsidRPr="0065554C">
        <w:t xml:space="preserve">Para la primera etapa, el CENACE habilitará la funcionalidad de presentación de ofertas económicas en el Sitio sólo a las Ofertas de Venta para las que haya emitido Constancia de Precalificación a efecto de que el Licitante presente la siguiente información: </w:t>
      </w:r>
    </w:p>
    <w:p w14:paraId="5FFB26BD" w14:textId="77777777" w:rsidR="00160338" w:rsidRPr="0065554C" w:rsidRDefault="00160338" w:rsidP="00A82589">
      <w:pPr>
        <w:pStyle w:val="Subinciso"/>
      </w:pPr>
      <w:r w:rsidRPr="0065554C">
        <w:t>La elección de que los pagos sean en Pesos o indexados a Dólares; y,</w:t>
      </w:r>
    </w:p>
    <w:p w14:paraId="410A0032" w14:textId="77777777" w:rsidR="00160338" w:rsidRPr="0065554C" w:rsidRDefault="001117A0" w:rsidP="00A82589">
      <w:pPr>
        <w:pStyle w:val="Subinciso"/>
      </w:pPr>
      <w:r w:rsidRPr="0065554C">
        <w:t>E</w:t>
      </w:r>
      <w:r w:rsidR="00160338" w:rsidRPr="0065554C">
        <w:t>l Licitante indi</w:t>
      </w:r>
      <w:r w:rsidRPr="0065554C">
        <w:t>cará</w:t>
      </w:r>
      <w:r w:rsidR="00160338" w:rsidRPr="0065554C">
        <w:t xml:space="preserve"> en cuál de las siguientes dos circunstancias se encuentra el estatus de interconexión de la o las Centrales Eléctricas con las que pretenda honrar su Oferta de Venta:</w:t>
      </w:r>
    </w:p>
    <w:p w14:paraId="37B64858" w14:textId="77777777" w:rsidR="00160338" w:rsidRPr="0065554C" w:rsidRDefault="00160338" w:rsidP="00D42E95">
      <w:pPr>
        <w:pStyle w:val="Subinciso"/>
        <w:numPr>
          <w:ilvl w:val="5"/>
          <w:numId w:val="29"/>
        </w:numPr>
        <w:ind w:left="5245" w:hanging="709"/>
      </w:pPr>
      <w:r w:rsidRPr="0065554C">
        <w:t xml:space="preserve">El estatus de interconexión de la Central Eléctrica es idéntico a aquél que el Licitante señaló al solicitar la precalificación de su Oferta de Venta. De ser éste el caso, </w:t>
      </w:r>
      <w:r w:rsidR="001117A0" w:rsidRPr="0065554C">
        <w:t xml:space="preserve">deberá presentar </w:t>
      </w:r>
      <w:r w:rsidRPr="0065554C">
        <w:t xml:space="preserve">el </w:t>
      </w:r>
      <w:r w:rsidRPr="0065554C">
        <w:rPr>
          <w:b/>
        </w:rPr>
        <w:t>Anexo VI.1</w:t>
      </w:r>
      <w:r w:rsidR="001117A0" w:rsidRPr="0065554C">
        <w:rPr>
          <w:b/>
        </w:rPr>
        <w:t>a</w:t>
      </w:r>
      <w:r w:rsidR="001117A0" w:rsidRPr="0065554C">
        <w:t xml:space="preserve"> para cada Central Eléctrica</w:t>
      </w:r>
      <w:r w:rsidRPr="0065554C">
        <w:t xml:space="preserve"> como parte de la oferta económica de la Oferta de Venta; o bien,</w:t>
      </w:r>
    </w:p>
    <w:p w14:paraId="67022B10" w14:textId="77777777" w:rsidR="005A7204" w:rsidRPr="0065554C" w:rsidRDefault="00160338" w:rsidP="00D42E95">
      <w:pPr>
        <w:pStyle w:val="Subinciso"/>
        <w:numPr>
          <w:ilvl w:val="5"/>
          <w:numId w:val="29"/>
        </w:numPr>
        <w:ind w:left="5245" w:hanging="709"/>
      </w:pPr>
      <w:r w:rsidRPr="0065554C">
        <w:t xml:space="preserve">El estatus de interconexión de la Central Eléctrica es diferente a aquél que el Licitante señaló al solicitar la </w:t>
      </w:r>
      <w:r w:rsidRPr="0065554C">
        <w:lastRenderedPageBreak/>
        <w:t xml:space="preserve">precalificación de su Oferta de Venta, en cuyo caso, el Licitante deberá indicar dicho estatus en el </w:t>
      </w:r>
      <w:r w:rsidRPr="0065554C">
        <w:rPr>
          <w:b/>
        </w:rPr>
        <w:t>Anexo VI.1</w:t>
      </w:r>
      <w:r w:rsidR="001117A0" w:rsidRPr="0065554C">
        <w:rPr>
          <w:b/>
        </w:rPr>
        <w:t>b</w:t>
      </w:r>
      <w:r w:rsidRPr="0065554C">
        <w:rPr>
          <w:b/>
        </w:rPr>
        <w:t>,</w:t>
      </w:r>
      <w:r w:rsidRPr="0065554C">
        <w:t xml:space="preserve"> y adjuntar a éste el documento de respaldo que corresponda (con base en los documentos listados en el </w:t>
      </w:r>
      <w:r w:rsidRPr="0065554C">
        <w:rPr>
          <w:b/>
        </w:rPr>
        <w:t>Anexo V.1</w:t>
      </w:r>
      <w:r w:rsidR="00552A1C" w:rsidRPr="0065554C">
        <w:rPr>
          <w:b/>
        </w:rPr>
        <w:t xml:space="preserve"> </w:t>
      </w:r>
      <w:r w:rsidR="00552A1C" w:rsidRPr="0065554C">
        <w:t xml:space="preserve">punto </w:t>
      </w:r>
      <w:r w:rsidR="005A7204" w:rsidRPr="0065554C">
        <w:t>17</w:t>
      </w:r>
      <w:r w:rsidRPr="0065554C">
        <w:t xml:space="preserve">). De ser éste el caso, este </w:t>
      </w:r>
      <w:r w:rsidRPr="0065554C">
        <w:rPr>
          <w:b/>
        </w:rPr>
        <w:t>Anexo VI.1</w:t>
      </w:r>
      <w:r w:rsidR="00D52535" w:rsidRPr="0065554C">
        <w:rPr>
          <w:b/>
        </w:rPr>
        <w:t>b</w:t>
      </w:r>
      <w:r w:rsidRPr="0065554C">
        <w:t xml:space="preserve"> deberá presentarse junto con la oferta económica</w:t>
      </w:r>
      <w:r w:rsidR="005A7204" w:rsidRPr="0065554C">
        <w:t xml:space="preserve"> y estará sujeto a revisión por el CENACE</w:t>
      </w:r>
    </w:p>
    <w:p w14:paraId="593AEF82" w14:textId="77777777" w:rsidR="00160338" w:rsidRPr="0065554C" w:rsidRDefault="005A7204" w:rsidP="005A7204">
      <w:pPr>
        <w:pStyle w:val="Subinciso"/>
        <w:numPr>
          <w:ilvl w:val="0"/>
          <w:numId w:val="0"/>
        </w:numPr>
        <w:ind w:left="5245"/>
      </w:pPr>
      <w:r w:rsidRPr="0065554C">
        <w:t>Una vez concluida la revisión del estatus de interconexión de la Central Eléctrica, el CENACE notificará al Licitante el resultado de la evaluación del estatus de interconexión, dicha notificación se enviará antes de la presentación de la segunda etapa de la oferta económica de la Oferta de Venta.</w:t>
      </w:r>
    </w:p>
    <w:p w14:paraId="4503413E" w14:textId="77777777" w:rsidR="00160338" w:rsidRPr="0065554C" w:rsidRDefault="00160338" w:rsidP="005E311D">
      <w:pPr>
        <w:pStyle w:val="Inciso"/>
      </w:pPr>
      <w:r w:rsidRPr="0065554C">
        <w:t>Para la segunda etapa</w:t>
      </w:r>
      <w:r w:rsidR="00217371" w:rsidRPr="0065554C">
        <w:t xml:space="preserve"> de la oferta económica de la Oferta de Venta,</w:t>
      </w:r>
      <w:r w:rsidRPr="0065554C">
        <w:t xml:space="preserve"> el Licitante deberá presentar el precio ofertado por el paquete de Productos expresado en Pesos por año, el cual será pagado durante los primeros 15 años a partir de la Fecha de Operación Comercial Ofertada.</w:t>
      </w:r>
    </w:p>
    <w:p w14:paraId="28EABA65" w14:textId="77777777" w:rsidR="00160338" w:rsidRPr="0065554C" w:rsidRDefault="00160338" w:rsidP="005E311D">
      <w:pPr>
        <w:pStyle w:val="Numeral"/>
      </w:pPr>
      <w:r w:rsidRPr="0065554C">
        <w:t xml:space="preserve">La documentación que deba ser presentada por el Licitante conforme a lo previsto en el numeral anterior, es decir, la oferta económica de cada Oferta de </w:t>
      </w:r>
      <w:r w:rsidR="002A469C" w:rsidRPr="0065554C">
        <w:t>Venta</w:t>
      </w:r>
      <w:r w:rsidRPr="0065554C">
        <w:t xml:space="preserve"> d</w:t>
      </w:r>
      <w:r w:rsidRPr="0065554C">
        <w:rPr>
          <w:spacing w:val="-1"/>
        </w:rPr>
        <w:t>e</w:t>
      </w:r>
      <w:r w:rsidRPr="0065554C">
        <w:rPr>
          <w:spacing w:val="2"/>
        </w:rPr>
        <w:t>b</w:t>
      </w:r>
      <w:r w:rsidRPr="0065554C">
        <w:rPr>
          <w:spacing w:val="-1"/>
        </w:rPr>
        <w:t>e</w:t>
      </w:r>
      <w:r w:rsidRPr="0065554C">
        <w:t>rá cumplir con los requisitos previstos en el numeral 5.3.</w:t>
      </w:r>
    </w:p>
    <w:p w14:paraId="4FFD8A7C" w14:textId="77777777" w:rsidR="00160338" w:rsidRPr="0065554C" w:rsidRDefault="00160338" w:rsidP="00160338">
      <w:pPr>
        <w:pStyle w:val="Seccin"/>
      </w:pPr>
      <w:bookmarkStart w:id="475" w:name="_Toc436487875"/>
      <w:bookmarkStart w:id="476" w:name="_Toc436433779"/>
      <w:bookmarkStart w:id="477" w:name="_Toc450052194"/>
      <w:bookmarkStart w:id="478" w:name="_Toc312964164"/>
      <w:bookmarkStart w:id="479" w:name="_Toc450201436"/>
      <w:bookmarkStart w:id="480" w:name="_Toc450638599"/>
      <w:bookmarkStart w:id="481" w:name="_Toc479255741"/>
      <w:bookmarkStart w:id="482" w:name="_Toc454100258"/>
      <w:bookmarkStart w:id="483" w:name="_Toc479763790"/>
      <w:bookmarkStart w:id="484" w:name="_Toc509413029"/>
      <w:r w:rsidRPr="0065554C">
        <w:t>Presentación de las ofertas económicas de las Ofertas de Venta</w:t>
      </w:r>
      <w:bookmarkEnd w:id="475"/>
      <w:bookmarkEnd w:id="476"/>
      <w:bookmarkEnd w:id="477"/>
      <w:bookmarkEnd w:id="478"/>
      <w:bookmarkEnd w:id="479"/>
      <w:bookmarkEnd w:id="480"/>
      <w:bookmarkEnd w:id="481"/>
      <w:bookmarkEnd w:id="482"/>
      <w:bookmarkEnd w:id="483"/>
      <w:bookmarkEnd w:id="484"/>
    </w:p>
    <w:p w14:paraId="4CB69010" w14:textId="77777777" w:rsidR="00160338" w:rsidRPr="0065554C" w:rsidRDefault="00160338" w:rsidP="005E311D">
      <w:pPr>
        <w:pStyle w:val="Numeral"/>
      </w:pPr>
      <w:r w:rsidRPr="0065554C">
        <w:t xml:space="preserve">El Licitante deberá presentar la oferta económica de su Oferta de Venta en el Sitio, conforme a lo dispuesto en los numerales 5.7.3 del Manual de Subastas de Largo Plazo y 6.1 de las Bases de Licitación, en las fechas señaladas para ello en el Calendario de la Subasta. </w:t>
      </w:r>
    </w:p>
    <w:p w14:paraId="12C18790" w14:textId="77777777" w:rsidR="00160338" w:rsidRPr="0065554C" w:rsidRDefault="00160338" w:rsidP="005E311D">
      <w:pPr>
        <w:pStyle w:val="Numeral"/>
      </w:pPr>
      <w:r w:rsidRPr="0065554C">
        <w:t>El Licitante obtendrá en el Sitio un acuse de recibido para cada oferta económica que haya presentado, mismo que deberá exhibir en el cotejo de documentos para la suscripción del Contrato, en caso de resultar asignatario en la Subasta.</w:t>
      </w:r>
    </w:p>
    <w:p w14:paraId="257A594F" w14:textId="77777777" w:rsidR="00160338" w:rsidRPr="0065554C" w:rsidRDefault="00160338" w:rsidP="005E311D">
      <w:pPr>
        <w:pStyle w:val="Numeral"/>
      </w:pPr>
      <w:r w:rsidRPr="0065554C">
        <w:t>El CENACE publicará en el Sitio las ofertas económicas de Ofertas de Venta recibidas, en los términos de lo indicado en el numeral 6.7.5(a) de las Bases de Licitación.</w:t>
      </w:r>
    </w:p>
    <w:p w14:paraId="61C0F5CD" w14:textId="77777777" w:rsidR="00160338" w:rsidRPr="0065554C" w:rsidRDefault="00160338" w:rsidP="00160338">
      <w:pPr>
        <w:pStyle w:val="Seccin"/>
      </w:pPr>
      <w:bookmarkStart w:id="485" w:name="_Toc435898966"/>
      <w:bookmarkStart w:id="486" w:name="_Toc435899037"/>
      <w:bookmarkStart w:id="487" w:name="_Toc435899108"/>
      <w:bookmarkStart w:id="488" w:name="_Toc435900725"/>
      <w:bookmarkStart w:id="489" w:name="_Toc436199691"/>
      <w:bookmarkStart w:id="490" w:name="_Toc436201418"/>
      <w:bookmarkStart w:id="491" w:name="_Toc436201494"/>
      <w:bookmarkStart w:id="492" w:name="_Toc436207532"/>
      <w:bookmarkStart w:id="493" w:name="_Toc436209143"/>
      <w:bookmarkStart w:id="494" w:name="_Toc436223644"/>
      <w:bookmarkStart w:id="495" w:name="_Toc436230363"/>
      <w:bookmarkStart w:id="496" w:name="_Toc436230435"/>
      <w:bookmarkStart w:id="497" w:name="_Toc436237516"/>
      <w:bookmarkStart w:id="498" w:name="_Toc436237591"/>
      <w:bookmarkStart w:id="499" w:name="_Toc436237664"/>
      <w:bookmarkStart w:id="500" w:name="_Toc436257488"/>
      <w:bookmarkStart w:id="501" w:name="_Toc436257554"/>
      <w:bookmarkStart w:id="502" w:name="_Toc436264503"/>
      <w:bookmarkStart w:id="503" w:name="_Toc436290584"/>
      <w:bookmarkStart w:id="504" w:name="_Toc436290649"/>
      <w:bookmarkStart w:id="505" w:name="_Toc436290987"/>
      <w:bookmarkStart w:id="506" w:name="_Toc436291169"/>
      <w:bookmarkStart w:id="507" w:name="_Toc436291232"/>
      <w:bookmarkStart w:id="508" w:name="_Toc436291438"/>
      <w:bookmarkStart w:id="509" w:name="_Toc436291496"/>
      <w:bookmarkStart w:id="510" w:name="_Toc436487876"/>
      <w:bookmarkStart w:id="511" w:name="_Toc436433780"/>
      <w:bookmarkStart w:id="512" w:name="_Toc450052195"/>
      <w:bookmarkStart w:id="513" w:name="_Toc312964165"/>
      <w:bookmarkStart w:id="514" w:name="_Toc450201437"/>
      <w:bookmarkStart w:id="515" w:name="_Toc450638600"/>
      <w:bookmarkStart w:id="516" w:name="_Toc479255742"/>
      <w:bookmarkStart w:id="517" w:name="_Toc454100259"/>
      <w:bookmarkStart w:id="518" w:name="_Toc479763791"/>
      <w:bookmarkStart w:id="519" w:name="_Toc509413030"/>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r w:rsidRPr="0065554C">
        <w:t>Periodo de vigencia de las Oferta de Venta</w:t>
      </w:r>
      <w:bookmarkEnd w:id="510"/>
      <w:bookmarkEnd w:id="511"/>
      <w:bookmarkEnd w:id="512"/>
      <w:bookmarkEnd w:id="513"/>
      <w:bookmarkEnd w:id="514"/>
      <w:bookmarkEnd w:id="515"/>
      <w:bookmarkEnd w:id="516"/>
      <w:bookmarkEnd w:id="517"/>
      <w:bookmarkEnd w:id="518"/>
      <w:bookmarkEnd w:id="519"/>
    </w:p>
    <w:p w14:paraId="42A2ABF7" w14:textId="77777777" w:rsidR="00160338" w:rsidRPr="0065554C" w:rsidRDefault="00160338" w:rsidP="005E311D">
      <w:pPr>
        <w:pStyle w:val="Numeral"/>
      </w:pPr>
      <w:r w:rsidRPr="0065554C">
        <w:t>Una vez aceptadas, las Ofertas de Venta estarán vigentes hasta la fecha de emisión del Fallo, salvo para los Licitantes ganadores, en cuyo caso las Ofertas de Venta estarán vigentes hasta la fecha de suscripción del Contrato, en términos de las Bases de Licitación</w:t>
      </w:r>
      <w:r w:rsidR="00EB50FD" w:rsidRPr="0065554C">
        <w:t>, las cuales no podrán ser cedidas en ningún caso.</w:t>
      </w:r>
    </w:p>
    <w:p w14:paraId="75ABEB2F" w14:textId="77777777" w:rsidR="00160338" w:rsidRPr="0065554C" w:rsidRDefault="00160338" w:rsidP="00160338">
      <w:pPr>
        <w:pStyle w:val="Seccin"/>
      </w:pPr>
      <w:bookmarkStart w:id="520" w:name="_Toc436433781"/>
      <w:bookmarkStart w:id="521" w:name="_Toc436487877"/>
      <w:bookmarkStart w:id="522" w:name="_Toc450052196"/>
      <w:bookmarkStart w:id="523" w:name="_Toc312964166"/>
      <w:bookmarkStart w:id="524" w:name="_Toc450201438"/>
      <w:bookmarkStart w:id="525" w:name="_Toc450638601"/>
      <w:bookmarkStart w:id="526" w:name="_Toc479255743"/>
      <w:bookmarkStart w:id="527" w:name="_Toc454100260"/>
      <w:bookmarkStart w:id="528" w:name="_Toc479763792"/>
      <w:bookmarkStart w:id="529" w:name="_Toc509413031"/>
      <w:r w:rsidRPr="0065554C">
        <w:lastRenderedPageBreak/>
        <w:t>Procedimiento para la evaluación de las ofertas económicas de las Ofertas de Venta</w:t>
      </w:r>
      <w:bookmarkEnd w:id="520"/>
      <w:bookmarkEnd w:id="521"/>
      <w:bookmarkEnd w:id="522"/>
      <w:bookmarkEnd w:id="523"/>
      <w:bookmarkEnd w:id="524"/>
      <w:bookmarkEnd w:id="525"/>
      <w:bookmarkEnd w:id="526"/>
      <w:bookmarkEnd w:id="527"/>
      <w:bookmarkEnd w:id="528"/>
      <w:bookmarkEnd w:id="529"/>
    </w:p>
    <w:p w14:paraId="5F6A5CB7" w14:textId="77777777" w:rsidR="00160338" w:rsidRPr="0065554C" w:rsidRDefault="00160338" w:rsidP="005E311D">
      <w:pPr>
        <w:pStyle w:val="Numeral"/>
      </w:pPr>
      <w:r w:rsidRPr="0065554C">
        <w:t>Una vez que haya recibido las ofertas económicas correspondientes a las Ofertas de Venta, el CENACE las evaluará conforme a lo siguiente:</w:t>
      </w:r>
    </w:p>
    <w:p w14:paraId="0E73AF07" w14:textId="77777777" w:rsidR="00160338" w:rsidRPr="0065554C" w:rsidRDefault="00160338" w:rsidP="005E311D">
      <w:pPr>
        <w:pStyle w:val="Inciso"/>
      </w:pPr>
      <w:r w:rsidRPr="0065554C">
        <w:t>La capacidad legal, financiera</w:t>
      </w:r>
      <w:r w:rsidR="00A61B2D" w:rsidRPr="0065554C">
        <w:t>,</w:t>
      </w:r>
      <w:r w:rsidRPr="0065554C">
        <w:t xml:space="preserve"> </w:t>
      </w:r>
      <w:r w:rsidR="00A61B2D" w:rsidRPr="0065554C">
        <w:t xml:space="preserve">técnica y de ejecución </w:t>
      </w:r>
      <w:r w:rsidRPr="0065554C">
        <w:t>del Licitante se tendrá por acreditada en los términos de la Constancia de Precalificación correspondiente y hasta por los montos de la o las Garantías de Seriedad presentadas.</w:t>
      </w:r>
    </w:p>
    <w:p w14:paraId="070E4B28" w14:textId="77777777" w:rsidR="00160338" w:rsidRPr="0065554C" w:rsidRDefault="00160338" w:rsidP="005E311D">
      <w:pPr>
        <w:pStyle w:val="Inciso"/>
      </w:pPr>
      <w:r w:rsidRPr="0065554C">
        <w:t xml:space="preserve">Se </w:t>
      </w:r>
      <w:r w:rsidR="00903C2A" w:rsidRPr="0065554C">
        <w:t>desecharán</w:t>
      </w:r>
      <w:r w:rsidRPr="0065554C">
        <w:t xml:space="preserve"> las Ofertas de Venta cuya oferta económica original sea menor o igual al precio que se obtenga al sumar los montos que resulten de multiplicar la cantidad de cada Producto incluido en el paquete por el 10% del precio máximo que establezca el Comprador Potencial.</w:t>
      </w:r>
    </w:p>
    <w:tbl>
      <w:tblPr>
        <w:tblW w:w="9337" w:type="dxa"/>
        <w:tblInd w:w="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9337"/>
      </w:tblGrid>
      <w:tr w:rsidR="0065554C" w:rsidRPr="0065554C" w14:paraId="704317DE" w14:textId="77777777" w:rsidTr="00B300B6">
        <w:tc>
          <w:tcPr>
            <w:tcW w:w="9337" w:type="dxa"/>
            <w:shd w:val="clear" w:color="auto" w:fill="DDD9C3"/>
          </w:tcPr>
          <w:p w14:paraId="4A65E611" w14:textId="77777777" w:rsidR="00160338" w:rsidRPr="0065554C" w:rsidRDefault="00160338" w:rsidP="002B0C6C">
            <w:pPr>
              <w:ind w:left="283" w:right="333"/>
              <w:jc w:val="center"/>
            </w:pPr>
            <w:r w:rsidRPr="0065554C">
              <w:rPr>
                <w:rFonts w:ascii="Calibri" w:eastAsia="Calibri" w:hAnsi="Calibri" w:cs="Calibri"/>
                <w:b/>
                <w:szCs w:val="20"/>
              </w:rPr>
              <w:t>Ejemplos</w:t>
            </w:r>
          </w:p>
          <w:p w14:paraId="4237FE48" w14:textId="77777777" w:rsidR="00160338" w:rsidRPr="0065554C" w:rsidRDefault="00160338" w:rsidP="002B0C6C">
            <w:pPr>
              <w:ind w:right="333"/>
              <w:rPr>
                <w:rFonts w:ascii="Calibri" w:eastAsia="Calibri" w:hAnsi="Calibri" w:cs="Calibri"/>
                <w:szCs w:val="20"/>
              </w:rPr>
            </w:pPr>
            <w:r w:rsidRPr="0065554C">
              <w:rPr>
                <w:rFonts w:ascii="Calibri" w:eastAsia="Calibri" w:hAnsi="Calibri" w:cs="Calibri"/>
                <w:szCs w:val="20"/>
              </w:rPr>
              <w:t>Supongamos que:</w:t>
            </w:r>
          </w:p>
          <w:p w14:paraId="7922DD67" w14:textId="77777777" w:rsidR="00160338" w:rsidRPr="0065554C" w:rsidRDefault="00160338" w:rsidP="00D42E95">
            <w:pPr>
              <w:pStyle w:val="Prrafodelista"/>
              <w:numPr>
                <w:ilvl w:val="0"/>
                <w:numId w:val="20"/>
              </w:numPr>
              <w:ind w:right="333"/>
              <w:rPr>
                <w:rFonts w:ascii="Calibri" w:eastAsia="Calibri" w:hAnsi="Calibri" w:cs="Calibri"/>
                <w:szCs w:val="20"/>
              </w:rPr>
            </w:pPr>
            <w:r w:rsidRPr="0065554C">
              <w:rPr>
                <w:rFonts w:ascii="Calibri" w:eastAsia="Calibri" w:hAnsi="Calibri" w:cs="Calibri"/>
                <w:szCs w:val="20"/>
              </w:rPr>
              <w:t>el precio máximo de cada MWh de Energía Eléctrica Acumulable es de $800.00, y</w:t>
            </w:r>
          </w:p>
          <w:p w14:paraId="4994C309" w14:textId="77777777" w:rsidR="00160338" w:rsidRPr="0065554C" w:rsidRDefault="00160338" w:rsidP="00D42E95">
            <w:pPr>
              <w:pStyle w:val="Prrafodelista"/>
              <w:numPr>
                <w:ilvl w:val="0"/>
                <w:numId w:val="20"/>
              </w:numPr>
              <w:ind w:right="333"/>
              <w:rPr>
                <w:rFonts w:ascii="Calibri" w:hAnsi="Calibri"/>
              </w:rPr>
            </w:pPr>
            <w:r w:rsidRPr="0065554C">
              <w:rPr>
                <w:rFonts w:ascii="Calibri" w:eastAsia="Calibri" w:hAnsi="Calibri" w:cs="Calibri"/>
                <w:szCs w:val="20"/>
              </w:rPr>
              <w:t xml:space="preserve">el precio máximo de cada Certificado de Energía Limpia es de $400.00 </w:t>
            </w:r>
          </w:p>
          <w:p w14:paraId="6B0B0B9B" w14:textId="77777777" w:rsidR="00160338" w:rsidRPr="0065554C" w:rsidRDefault="00160338" w:rsidP="00D42E95">
            <w:pPr>
              <w:pStyle w:val="Prrafodelista"/>
              <w:numPr>
                <w:ilvl w:val="0"/>
                <w:numId w:val="20"/>
              </w:numPr>
              <w:ind w:right="333"/>
              <w:rPr>
                <w:rFonts w:ascii="Calibri" w:hAnsi="Calibri"/>
              </w:rPr>
            </w:pPr>
            <w:r w:rsidRPr="0065554C">
              <w:rPr>
                <w:rFonts w:ascii="Calibri" w:eastAsia="Calibri" w:hAnsi="Calibri" w:cs="Calibri"/>
                <w:szCs w:val="20"/>
              </w:rPr>
              <w:t>un licitante presenta la siguiente Oferta de Venta:</w:t>
            </w:r>
          </w:p>
          <w:p w14:paraId="21C92342" w14:textId="77777777" w:rsidR="00160338" w:rsidRPr="0065554C" w:rsidRDefault="00160338" w:rsidP="00D42E95">
            <w:pPr>
              <w:pStyle w:val="Prrafodelista"/>
              <w:numPr>
                <w:ilvl w:val="0"/>
                <w:numId w:val="21"/>
              </w:numPr>
              <w:ind w:right="333"/>
            </w:pPr>
            <w:r w:rsidRPr="0065554C">
              <w:rPr>
                <w:rFonts w:ascii="Calibri" w:eastAsia="Calibri" w:hAnsi="Calibri" w:cs="Calibri"/>
                <w:szCs w:val="20"/>
              </w:rPr>
              <w:t>Energía Eléctrica Acumulable: 10,000.00 MWh</w:t>
            </w:r>
          </w:p>
          <w:p w14:paraId="3C5A6ED2" w14:textId="77777777" w:rsidR="00160338" w:rsidRPr="0065554C" w:rsidRDefault="00160338" w:rsidP="00D42E95">
            <w:pPr>
              <w:pStyle w:val="Prrafodelista"/>
              <w:numPr>
                <w:ilvl w:val="0"/>
                <w:numId w:val="21"/>
              </w:numPr>
              <w:ind w:right="333"/>
            </w:pPr>
            <w:r w:rsidRPr="0065554C">
              <w:rPr>
                <w:rFonts w:ascii="Calibri" w:eastAsia="Calibri" w:hAnsi="Calibri" w:cs="Calibri"/>
                <w:szCs w:val="20"/>
              </w:rPr>
              <w:t>Certificados de Energía Limpia: 10,000 CEL</w:t>
            </w:r>
          </w:p>
          <w:p w14:paraId="745A51F1" w14:textId="77777777" w:rsidR="00160338" w:rsidRPr="0065554C" w:rsidRDefault="00160338" w:rsidP="002B0C6C">
            <w:pPr>
              <w:ind w:right="333"/>
            </w:pPr>
            <w:r w:rsidRPr="0065554C">
              <w:rPr>
                <w:rFonts w:ascii="Calibri" w:eastAsia="Calibri" w:hAnsi="Calibri" w:cs="Calibri"/>
                <w:szCs w:val="20"/>
              </w:rPr>
              <w:t>El precio con el que se comparará para su desechamiento será el siguiente:</w:t>
            </w:r>
          </w:p>
          <w:p w14:paraId="48067AB8" w14:textId="77777777" w:rsidR="00160338" w:rsidRPr="0065554C" w:rsidRDefault="00160338" w:rsidP="00D42E95">
            <w:pPr>
              <w:numPr>
                <w:ilvl w:val="0"/>
                <w:numId w:val="18"/>
              </w:numPr>
              <w:spacing w:after="0"/>
              <w:ind w:right="333" w:hanging="360"/>
              <w:contextualSpacing/>
              <w:rPr>
                <w:rFonts w:ascii="Calibri" w:eastAsia="Calibri" w:hAnsi="Calibri" w:cs="Calibri"/>
                <w:szCs w:val="20"/>
              </w:rPr>
            </w:pPr>
            <w:r w:rsidRPr="0065554C" w:rsidDel="00C80D03">
              <w:rPr>
                <w:rFonts w:ascii="Calibri" w:eastAsia="Calibri" w:hAnsi="Calibri" w:cs="Calibri"/>
                <w:szCs w:val="20"/>
              </w:rPr>
              <w:t xml:space="preserve"> </w:t>
            </w:r>
            <w:r w:rsidRPr="0065554C">
              <w:rPr>
                <w:rFonts w:ascii="Calibri" w:eastAsia="Calibri" w:hAnsi="Calibri" w:cs="Calibri"/>
                <w:szCs w:val="20"/>
              </w:rPr>
              <w:t xml:space="preserve">(10,000)*(800*0.1) + (10,000)*(400*0.1) = $1,200,000.00 </w:t>
            </w:r>
          </w:p>
          <w:p w14:paraId="3B9EBB89" w14:textId="77777777" w:rsidR="00160338" w:rsidRPr="0065554C" w:rsidRDefault="00160338" w:rsidP="002B0C6C">
            <w:pPr>
              <w:ind w:right="333"/>
            </w:pPr>
            <w:r w:rsidRPr="0065554C">
              <w:rPr>
                <w:rFonts w:ascii="Calibri" w:eastAsia="Calibri" w:hAnsi="Calibri" w:cs="Calibri"/>
                <w:szCs w:val="20"/>
              </w:rPr>
              <w:t>Si para ese paquete, el Licitante presenta una oferta económica de $10,000,000.00</w:t>
            </w:r>
            <w:r w:rsidRPr="0065554C">
              <w:t xml:space="preserve">, </w:t>
            </w:r>
            <w:r w:rsidRPr="0065554C">
              <w:rPr>
                <w:rFonts w:ascii="Calibri" w:eastAsia="Calibri" w:hAnsi="Calibri" w:cs="Calibri"/>
                <w:szCs w:val="20"/>
              </w:rPr>
              <w:t>la oferta de este Licitante no se desecharía, puesto que es superior a $1,200,000.</w:t>
            </w:r>
          </w:p>
          <w:p w14:paraId="538D56AD" w14:textId="77777777" w:rsidR="00160338" w:rsidRPr="0065554C" w:rsidRDefault="00160338" w:rsidP="002B0C6C">
            <w:pPr>
              <w:ind w:right="333"/>
              <w:rPr>
                <w:rFonts w:ascii="Calibri" w:eastAsia="Calibri" w:hAnsi="Calibri" w:cs="Calibri"/>
                <w:szCs w:val="20"/>
              </w:rPr>
            </w:pPr>
            <w:r w:rsidRPr="0065554C">
              <w:rPr>
                <w:rFonts w:ascii="Calibri" w:eastAsia="Calibri" w:hAnsi="Calibri" w:cs="Calibri"/>
                <w:szCs w:val="20"/>
              </w:rPr>
              <w:t>Si para ese paquete, el Licitante presenta una oferta económica de $1,000,000.00</w:t>
            </w:r>
            <w:r w:rsidRPr="0065554C">
              <w:t xml:space="preserve">, </w:t>
            </w:r>
            <w:r w:rsidRPr="0065554C">
              <w:rPr>
                <w:rFonts w:ascii="Calibri" w:eastAsia="Calibri" w:hAnsi="Calibri" w:cs="Calibri"/>
                <w:szCs w:val="20"/>
              </w:rPr>
              <w:t xml:space="preserve">la oferta de este Licitante se desecharía, puesto que es inferior a $1,200,000. </w:t>
            </w:r>
          </w:p>
        </w:tc>
      </w:tr>
    </w:tbl>
    <w:p w14:paraId="58F78480" w14:textId="77777777" w:rsidR="00160338" w:rsidRPr="0065554C" w:rsidRDefault="00160338" w:rsidP="005E311D">
      <w:pPr>
        <w:pStyle w:val="Inciso"/>
      </w:pPr>
      <w:r w:rsidRPr="0065554C">
        <w:t>Se descartarán las Ofertas de Venta cuya oferta económica</w:t>
      </w:r>
      <w:r w:rsidR="005300EF" w:rsidRPr="0065554C">
        <w:t xml:space="preserve"> original</w:t>
      </w:r>
      <w:r w:rsidRPr="0065554C">
        <w:t xml:space="preserve"> sea mayor al precio que se obtenga al sumar los montos que resulten de multiplicar la cantidad de cada Producto incluido en el paquete por el precio máximo que establezca la CRE, para dicho Producto.</w:t>
      </w:r>
    </w:p>
    <w:p w14:paraId="2AA30F39" w14:textId="77777777" w:rsidR="00160338" w:rsidRPr="0065554C" w:rsidRDefault="00160338" w:rsidP="005E311D">
      <w:pPr>
        <w:pStyle w:val="Inciso"/>
      </w:pPr>
      <w:r w:rsidRPr="0065554C">
        <w:t xml:space="preserve">Cuando debido al uso de las Diferencias Esperadas el precio correspondiente sea superior al precio máximo que establezca </w:t>
      </w:r>
      <w:r w:rsidR="00193FB8" w:rsidRPr="0065554C">
        <w:t>la CRE</w:t>
      </w:r>
      <w:r w:rsidR="00303AF5" w:rsidRPr="0065554C">
        <w:t xml:space="preserve"> o en su caso, el del Suministrador de Servicios Básicos cuando la CRE no lo establezca</w:t>
      </w:r>
      <w:r w:rsidRPr="0065554C">
        <w:t>, dicho resultado no se entenderá como incumplimiento de los precios máximos</w:t>
      </w:r>
      <w:r w:rsidR="00245135" w:rsidRPr="0065554C">
        <w:t xml:space="preserve"> y la oferta de venta correspondiente no será descartada por ese motivo</w:t>
      </w:r>
      <w:r w:rsidRPr="0065554C">
        <w:t>, en atención a lo previsto en el numeral 5.5.2(c) del Manual de Subastas de Largo Plazo.</w:t>
      </w:r>
    </w:p>
    <w:p w14:paraId="4C8BC6B0" w14:textId="77777777" w:rsidR="002A469C" w:rsidRPr="0065554C" w:rsidRDefault="00160338" w:rsidP="0032207F">
      <w:pPr>
        <w:pStyle w:val="Inciso"/>
      </w:pPr>
      <w:r w:rsidRPr="0065554C">
        <w:t xml:space="preserve">Asimismo, el uso de las Diferencias Esperadas podrá resultar en el desembolso de pagos que rebasen los precios máximos para Ofertas de Compra. Lo anterior en virtud de lo previsto en el último párrafo del numeral 5.5.2 (c) del Manual de Subastas de Largo Plazo. </w:t>
      </w:r>
    </w:p>
    <w:p w14:paraId="295224A2" w14:textId="77777777" w:rsidR="00160338" w:rsidRPr="0065554C" w:rsidRDefault="00160338" w:rsidP="005E311D">
      <w:pPr>
        <w:pStyle w:val="Numeral"/>
      </w:pPr>
      <w:r w:rsidRPr="0065554C">
        <w:lastRenderedPageBreak/>
        <w:t xml:space="preserve">El CENACE procederá a realizar la evaluación de las ofertas económicas de las Ofertas de Venta recibidas en los tiempos señalados para ello en el Calendario de la Subasta. Para tal efecto, se tomarán en cuenta los precios de las Ofertas de Venta ajustadas en virtud de las Diferencias Esperadas. </w:t>
      </w:r>
    </w:p>
    <w:p w14:paraId="4F541465" w14:textId="77777777" w:rsidR="00E13176" w:rsidRPr="0065554C" w:rsidRDefault="00E13176" w:rsidP="00E13176">
      <w:pPr>
        <w:pStyle w:val="Numeral"/>
        <w:numPr>
          <w:ilvl w:val="0"/>
          <w:numId w:val="0"/>
        </w:numPr>
        <w:ind w:left="851"/>
      </w:pPr>
    </w:p>
    <w:tbl>
      <w:tblPr>
        <w:tblW w:w="9072"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DD9C3"/>
        <w:tblCellMar>
          <w:left w:w="0" w:type="dxa"/>
          <w:right w:w="0" w:type="dxa"/>
        </w:tblCellMar>
        <w:tblLook w:val="04A0" w:firstRow="1" w:lastRow="0" w:firstColumn="1" w:lastColumn="0" w:noHBand="0" w:noVBand="1"/>
      </w:tblPr>
      <w:tblGrid>
        <w:gridCol w:w="9072"/>
      </w:tblGrid>
      <w:tr w:rsidR="0065554C" w:rsidRPr="0065554C" w14:paraId="1A9773DF" w14:textId="77777777" w:rsidTr="00B300B6">
        <w:tc>
          <w:tcPr>
            <w:tcW w:w="9072" w:type="dxa"/>
            <w:shd w:val="clear" w:color="auto" w:fill="DDD9C3"/>
            <w:tcMar>
              <w:top w:w="0" w:type="dxa"/>
              <w:left w:w="108" w:type="dxa"/>
              <w:bottom w:w="0" w:type="dxa"/>
              <w:right w:w="108" w:type="dxa"/>
            </w:tcMar>
            <w:hideMark/>
          </w:tcPr>
          <w:p w14:paraId="679F53B6" w14:textId="77777777" w:rsidR="00160338" w:rsidRPr="0065554C" w:rsidRDefault="00160338" w:rsidP="002B0C6C">
            <w:pPr>
              <w:pStyle w:val="Ejemplo"/>
              <w:rPr>
                <w:lang w:eastAsia="es-MX" w:bidi="ar-SA"/>
              </w:rPr>
            </w:pPr>
            <w:r w:rsidRPr="0065554C">
              <w:rPr>
                <w:lang w:eastAsia="es-MX" w:bidi="ar-SA"/>
              </w:rPr>
              <w:t>Ejemplo</w:t>
            </w:r>
          </w:p>
          <w:p w14:paraId="665B51F8" w14:textId="77777777" w:rsidR="00160338" w:rsidRPr="0065554C" w:rsidRDefault="00160338" w:rsidP="002B0C6C">
            <w:pPr>
              <w:pStyle w:val="EjeNumer1er"/>
              <w:numPr>
                <w:ilvl w:val="0"/>
                <w:numId w:val="0"/>
              </w:numPr>
              <w:ind w:left="360"/>
              <w:rPr>
                <w:lang w:eastAsia="es-MX" w:bidi="ar-SA"/>
              </w:rPr>
            </w:pPr>
            <w:r w:rsidRPr="0065554C">
              <w:rPr>
                <w:lang w:eastAsia="es-MX" w:bidi="ar-SA"/>
              </w:rPr>
              <w:t>Supongamos que:</w:t>
            </w:r>
          </w:p>
          <w:p w14:paraId="586483AA" w14:textId="77777777" w:rsidR="00160338" w:rsidRPr="0065554C" w:rsidRDefault="00160338" w:rsidP="00D42E95">
            <w:pPr>
              <w:pStyle w:val="Inciso"/>
              <w:numPr>
                <w:ilvl w:val="0"/>
                <w:numId w:val="19"/>
              </w:numPr>
              <w:ind w:left="914"/>
              <w:rPr>
                <w:lang w:eastAsia="es-MX" w:bidi="ar-SA"/>
              </w:rPr>
            </w:pPr>
            <w:r w:rsidRPr="0065554C">
              <w:rPr>
                <w:sz w:val="20"/>
                <w:lang w:eastAsia="es-MX" w:bidi="ar-SA"/>
              </w:rPr>
              <w:t>el precio máximo para la Oferta de Compra es $45.00 Dólares,</w:t>
            </w:r>
            <w:r w:rsidRPr="0065554C">
              <w:t xml:space="preserve"> </w:t>
            </w:r>
          </w:p>
          <w:p w14:paraId="231BF22B" w14:textId="77777777" w:rsidR="00160338" w:rsidRPr="0065554C" w:rsidRDefault="00160338" w:rsidP="00D42E95">
            <w:pPr>
              <w:pStyle w:val="EjeNumer1er"/>
              <w:numPr>
                <w:ilvl w:val="0"/>
                <w:numId w:val="19"/>
              </w:numPr>
              <w:ind w:left="884"/>
              <w:rPr>
                <w:lang w:eastAsia="es-MX" w:bidi="ar-SA"/>
              </w:rPr>
            </w:pPr>
            <w:r w:rsidRPr="0065554C">
              <w:rPr>
                <w:szCs w:val="20"/>
                <w:lang w:eastAsia="es-MX" w:bidi="ar-SA"/>
              </w:rPr>
              <w:t xml:space="preserve">el precio (oferta económica) de una </w:t>
            </w:r>
            <w:r w:rsidRPr="0065554C">
              <w:rPr>
                <w:lang w:eastAsia="es-MX" w:bidi="ar-SA"/>
              </w:rPr>
              <w:t xml:space="preserve">Oferta de Venta es $45.00 Dólares, y </w:t>
            </w:r>
          </w:p>
          <w:p w14:paraId="02261432" w14:textId="77777777" w:rsidR="00160338" w:rsidRPr="0065554C" w:rsidRDefault="00160338" w:rsidP="00D42E95">
            <w:pPr>
              <w:pStyle w:val="EjeNumer1er"/>
              <w:numPr>
                <w:ilvl w:val="0"/>
                <w:numId w:val="19"/>
              </w:numPr>
              <w:ind w:left="884"/>
              <w:rPr>
                <w:lang w:eastAsia="es-MX" w:bidi="ar-SA"/>
              </w:rPr>
            </w:pPr>
            <w:r w:rsidRPr="0065554C">
              <w:rPr>
                <w:lang w:eastAsia="es-MX" w:bidi="ar-SA"/>
              </w:rPr>
              <w:t>la Diferencia Esperada en la Zona de Interconexión donde se encuentra dicha Oferta de Venta es $5.00 Dólares.</w:t>
            </w:r>
          </w:p>
          <w:p w14:paraId="09E17AF7" w14:textId="77777777" w:rsidR="00160338" w:rsidRPr="0065554C" w:rsidRDefault="00160338" w:rsidP="002B0C6C">
            <w:pPr>
              <w:pStyle w:val="EjeNumer1er"/>
              <w:numPr>
                <w:ilvl w:val="0"/>
                <w:numId w:val="0"/>
              </w:numPr>
              <w:ind w:left="360"/>
              <w:rPr>
                <w:lang w:eastAsia="es-MX" w:bidi="ar-SA"/>
              </w:rPr>
            </w:pPr>
            <w:r w:rsidRPr="0065554C">
              <w:rPr>
                <w:szCs w:val="20"/>
                <w:lang w:eastAsia="es-MX" w:bidi="ar-SA"/>
              </w:rPr>
              <w:t xml:space="preserve">Para efectos de la evaluación económica de las ofertas de venta, la oferta económica debe ajustarse considerando la Diferencia Esperada, por lo que </w:t>
            </w:r>
            <w:r w:rsidRPr="0065554C">
              <w:rPr>
                <w:lang w:eastAsia="es-MX" w:bidi="ar-SA"/>
              </w:rPr>
              <w:t>dicha Oferta de Venta se incrementa a $50.00 dólares.</w:t>
            </w:r>
          </w:p>
          <w:p w14:paraId="2A36FD12" w14:textId="77777777" w:rsidR="00160338" w:rsidRPr="0065554C" w:rsidRDefault="00160338" w:rsidP="002B0C6C">
            <w:pPr>
              <w:pStyle w:val="EjeNumer1er"/>
              <w:numPr>
                <w:ilvl w:val="0"/>
                <w:numId w:val="0"/>
              </w:numPr>
              <w:ind w:left="360"/>
              <w:rPr>
                <w:lang w:eastAsia="es-MX" w:bidi="ar-SA"/>
              </w:rPr>
            </w:pPr>
            <w:r w:rsidRPr="0065554C">
              <w:rPr>
                <w:lang w:eastAsia="es-MX" w:bidi="ar-SA"/>
              </w:rPr>
              <w:t>Dicho precio ajustado no será causal de incumplimiento de precios máximos, pero será el que se emplee para evaluar la Oferta de Venta a efectos de determinar cuáles son las Ofertas de Venta que otorgan mejores condiciones al Comprador.</w:t>
            </w:r>
          </w:p>
        </w:tc>
      </w:tr>
    </w:tbl>
    <w:p w14:paraId="3F450286" w14:textId="77777777" w:rsidR="00160338" w:rsidRPr="0065554C" w:rsidRDefault="00160338" w:rsidP="005E311D">
      <w:pPr>
        <w:pStyle w:val="Numeral"/>
      </w:pPr>
      <w:r w:rsidRPr="0065554C">
        <w:t xml:space="preserve">El CENACE podrá optar por desechar una Oferta de Venta en caso </w:t>
      </w:r>
      <w:r w:rsidR="00F50F02" w:rsidRPr="0065554C">
        <w:t xml:space="preserve">de </w:t>
      </w:r>
      <w:r w:rsidRPr="0065554C">
        <w:t>que</w:t>
      </w:r>
      <w:r w:rsidR="00F50F02" w:rsidRPr="0065554C">
        <w:t>,</w:t>
      </w:r>
      <w:r w:rsidRPr="0065554C">
        <w:t xml:space="preserve"> como resultado de la evaluación de las ofertas económicas de las Ofertas de Venta, advierta un error manifiesto de tal manera que, al declarar ganadora la Oferta de Venta correspondiente, ocasione o pueda ocasionar un riesgo inherente para el Comprador Potencial, y en tal virtud resulte conveniente permitir que otras Ofertas de Venta sean declaradas ganadoras.</w:t>
      </w:r>
    </w:p>
    <w:p w14:paraId="557E9BF8" w14:textId="77777777" w:rsidR="00160338" w:rsidRPr="0065554C" w:rsidRDefault="00160338" w:rsidP="005E311D">
      <w:pPr>
        <w:pStyle w:val="Numeral"/>
      </w:pPr>
      <w:r w:rsidRPr="0065554C">
        <w:t xml:space="preserve">Todas las Ofertas de Venta se evaluarán mediante la maximización del excedente económico total. Es decir, se maximizará </w:t>
      </w:r>
      <w:r w:rsidR="00A37CBE" w:rsidRPr="0065554C">
        <w:t xml:space="preserve">la suma de las cantidades </w:t>
      </w:r>
      <w:r w:rsidR="00257E0E" w:rsidRPr="0065554C">
        <w:t>de</w:t>
      </w:r>
      <w:r w:rsidR="00A37CBE" w:rsidRPr="0065554C">
        <w:t xml:space="preserve"> las </w:t>
      </w:r>
      <w:r w:rsidR="00FA4900" w:rsidRPr="0065554C">
        <w:t>O</w:t>
      </w:r>
      <w:r w:rsidR="00A37CBE" w:rsidRPr="0065554C">
        <w:t xml:space="preserve">ferta de </w:t>
      </w:r>
      <w:r w:rsidR="00FA4900" w:rsidRPr="0065554C">
        <w:t>C</w:t>
      </w:r>
      <w:r w:rsidR="00A37CBE" w:rsidRPr="0065554C">
        <w:t xml:space="preserve">ompra de cada producto multiplicado por </w:t>
      </w:r>
      <w:r w:rsidR="00257E0E" w:rsidRPr="0065554C">
        <w:t>el</w:t>
      </w:r>
      <w:r w:rsidR="00A37CBE" w:rsidRPr="0065554C">
        <w:t xml:space="preserve"> precio </w:t>
      </w:r>
      <w:r w:rsidR="00257E0E" w:rsidRPr="0065554C">
        <w:t xml:space="preserve">máximo de compra </w:t>
      </w:r>
      <w:r w:rsidR="00A37CBE" w:rsidRPr="0065554C">
        <w:t xml:space="preserve">ofertado </w:t>
      </w:r>
      <w:r w:rsidR="0039678B" w:rsidRPr="0065554C">
        <w:t>correspondiente,</w:t>
      </w:r>
      <w:r w:rsidR="00A37CBE" w:rsidRPr="0065554C">
        <w:t xml:space="preserve"> menos la suma de los precios ajustados de los paquetes aceptados.</w:t>
      </w:r>
      <w:r w:rsidRPr="0065554C">
        <w:t xml:space="preserve"> </w:t>
      </w:r>
    </w:p>
    <w:p w14:paraId="75324D9C" w14:textId="77777777" w:rsidR="00160338" w:rsidRPr="0065554C" w:rsidRDefault="00160338" w:rsidP="005E311D">
      <w:pPr>
        <w:pStyle w:val="Numeral"/>
      </w:pPr>
      <w:r w:rsidRPr="0065554C">
        <w:t>A fin de reducir la probabilidad de empates en el proceso de evaluación, cada Oferta de Venta se evaluará como la suma de la oferta económica presentada por el Licitante y un factor de hora de presentación de la oferta económica de la Oferta de Venta. Dicho factor será igual a 1/1000 multiplicado por la hora de presentación de la oferta económica de la Oferta de Venta respectiva, expresado como el número de horas que pasaron entre el inicio del periodo en el cual se permite la recepción de ofertas y la hora real de presentación de la oferta económica de la Oferta de Venta.</w:t>
      </w:r>
    </w:p>
    <w:tbl>
      <w:tblPr>
        <w:tblStyle w:val="Tablaconcuadrcula"/>
        <w:tblW w:w="9072" w:type="dxa"/>
        <w:tblInd w:w="959" w:type="dxa"/>
        <w:shd w:val="clear" w:color="auto" w:fill="DDD9C3" w:themeFill="background2" w:themeFillShade="E6"/>
        <w:tblLook w:val="04A0" w:firstRow="1" w:lastRow="0" w:firstColumn="1" w:lastColumn="0" w:noHBand="0" w:noVBand="1"/>
      </w:tblPr>
      <w:tblGrid>
        <w:gridCol w:w="9072"/>
      </w:tblGrid>
      <w:tr w:rsidR="0065554C" w:rsidRPr="0065554C" w14:paraId="15C933BF" w14:textId="77777777" w:rsidTr="00B300B6">
        <w:tc>
          <w:tcPr>
            <w:tcW w:w="9072" w:type="dxa"/>
            <w:shd w:val="clear" w:color="auto" w:fill="DDD9C3" w:themeFill="background2" w:themeFillShade="E6"/>
          </w:tcPr>
          <w:p w14:paraId="25D855AE" w14:textId="77777777" w:rsidR="00160338" w:rsidRPr="0065554C" w:rsidRDefault="00160338" w:rsidP="002B0C6C">
            <w:pPr>
              <w:pStyle w:val="Ejemplo"/>
            </w:pPr>
            <w:r w:rsidRPr="0065554C">
              <w:t>Ejemplo:</w:t>
            </w:r>
          </w:p>
          <w:p w14:paraId="775BBF5C" w14:textId="77777777" w:rsidR="00160338" w:rsidRPr="0065554C" w:rsidRDefault="00160338" w:rsidP="002B0C6C">
            <w:pPr>
              <w:pStyle w:val="EjeNumer1er"/>
              <w:numPr>
                <w:ilvl w:val="0"/>
                <w:numId w:val="0"/>
              </w:numPr>
              <w:ind w:left="360"/>
            </w:pPr>
            <w:r w:rsidRPr="0065554C">
              <w:lastRenderedPageBreak/>
              <w:t>Si el periodo en el cual se permite la presentación de Ofertas de Venta comienza a las 9:00 horas y un Licitante presenta su Oferta de Venta a las 21:30 horas del mismo día, el factor de hora de recepción de ofertas será 0.0125 Pesos por año, lo cual representa doce horas y media, multiplicado por 1/1000.</w:t>
            </w:r>
          </w:p>
        </w:tc>
      </w:tr>
    </w:tbl>
    <w:p w14:paraId="62D2DBA9" w14:textId="77777777" w:rsidR="00160338" w:rsidRPr="0065554C" w:rsidRDefault="00160338" w:rsidP="005E311D">
      <w:pPr>
        <w:pStyle w:val="Numeral"/>
      </w:pPr>
      <w:r w:rsidRPr="0065554C">
        <w:t>A fin de fomentar las condiciones de competencia del proceso, cuando la cantidad total de un Producto contenida en las Ofertas de Venta recibidas sea menor a dos veces la cantidad de dicho Producto asentada en las Ofertas de Compra Aceptadas, un porcentaje de la cantidad para dicho Producto incluido en cada Oferta de Compra se diferirá hasta la siguiente Subasta. El porcentaje será el requerido para lograr que las Ofertas de Venta sean dos veces la cantidad de dicho Producto. Las cantidades para cada Producto que se mantendrán en la Subasta se calcularán multiplicando las cantidades incluidas en las Ofertas de Compra Aceptadas por el Porcentaje de Reducción. Asimismo, en caso de que la CRE establezca límites respecto a las cantidades totales de cada Producto que se puedan asignar en la Subasta, el Porcentaje de Reducción se ajustará para respetar dichos límites, de acuerdo a lo establecido en los numerales 5.7.4(d) y 5.7.4(e) del Manual de Subastas de Largo Plazo.</w:t>
      </w:r>
    </w:p>
    <w:p w14:paraId="4E41C1DA" w14:textId="77777777" w:rsidR="00160338" w:rsidRPr="0065554C" w:rsidRDefault="00160338" w:rsidP="00160338">
      <w:pPr>
        <w:pStyle w:val="Seccin"/>
      </w:pPr>
      <w:bookmarkStart w:id="530" w:name="_Toc436487878"/>
      <w:bookmarkStart w:id="531" w:name="_Toc436433782"/>
      <w:bookmarkStart w:id="532" w:name="_Toc450052197"/>
      <w:bookmarkStart w:id="533" w:name="_Toc312964167"/>
      <w:bookmarkStart w:id="534" w:name="_Toc450201439"/>
      <w:bookmarkStart w:id="535" w:name="_Toc450638602"/>
      <w:bookmarkStart w:id="536" w:name="_Toc479255744"/>
      <w:bookmarkStart w:id="537" w:name="_Toc454100261"/>
      <w:bookmarkStart w:id="538" w:name="_Toc479763793"/>
      <w:bookmarkStart w:id="539" w:name="_Toc509413032"/>
      <w:r w:rsidRPr="0065554C">
        <w:t xml:space="preserve">Variables de </w:t>
      </w:r>
      <w:bookmarkEnd w:id="530"/>
      <w:bookmarkEnd w:id="531"/>
      <w:r w:rsidRPr="0065554C">
        <w:t>asignación</w:t>
      </w:r>
      <w:bookmarkEnd w:id="532"/>
      <w:bookmarkEnd w:id="533"/>
      <w:bookmarkEnd w:id="534"/>
      <w:bookmarkEnd w:id="535"/>
      <w:bookmarkEnd w:id="536"/>
      <w:bookmarkEnd w:id="537"/>
      <w:bookmarkEnd w:id="538"/>
      <w:bookmarkEnd w:id="539"/>
    </w:p>
    <w:p w14:paraId="4BB6B1C5" w14:textId="77777777" w:rsidR="00160338" w:rsidRPr="0065554C" w:rsidRDefault="00160338" w:rsidP="005E311D">
      <w:pPr>
        <w:pStyle w:val="Numeral"/>
      </w:pPr>
      <w:r w:rsidRPr="0065554C">
        <w:t>Las variables de asignación de la Subasta se deben cumplir por la cantidad de Potencia, Energía Eléctrica Acumulable y CEL, en las Zonas de Generación y de Potencia definidas en las Bases de Licitación. Dichas variables tomarán en cuenta las restricciones internas de cada Zona de Generación para exportar Energía Eléctrica Acumulable, las restricciones de capacidad de interconexión de las Zonas de Interconexión y las variables globales para no exceder el requerimiento del SEN.</w:t>
      </w:r>
    </w:p>
    <w:p w14:paraId="3ACEA9C9" w14:textId="77777777" w:rsidR="00160338" w:rsidRPr="0065554C" w:rsidRDefault="00140072" w:rsidP="005E311D">
      <w:pPr>
        <w:pStyle w:val="Texto2"/>
      </w:pPr>
      <m:oMath>
        <m:sSub>
          <m:sSubPr>
            <m:ctrlPr>
              <w:rPr>
                <w:rFonts w:ascii="Cambria Math" w:hAnsi="Cambria Math"/>
                <w:i/>
              </w:rPr>
            </m:ctrlPr>
          </m:sSubPr>
          <m:e>
            <m:r>
              <w:rPr>
                <w:rFonts w:ascii="Cambria Math" w:hAnsi="Cambria Math"/>
              </w:rPr>
              <m:t>u</m:t>
            </m:r>
          </m:e>
          <m:sub>
            <m:r>
              <w:rPr>
                <w:rFonts w:ascii="Cambria Math" w:hAnsi="Cambria Math"/>
              </w:rPr>
              <m:t>p</m:t>
            </m:r>
          </m:sub>
        </m:sSub>
      </m:oMath>
      <w:r w:rsidR="00160338" w:rsidRPr="0065554C">
        <w:tab/>
      </w:r>
      <w:r w:rsidR="00160338" w:rsidRPr="0065554C">
        <w:tab/>
        <w:t xml:space="preserve">Variable binaria: 1 si el paquete </w:t>
      </w:r>
      <w:r w:rsidR="00160338" w:rsidRPr="0065554C">
        <w:rPr>
          <w:i/>
        </w:rPr>
        <w:t>p</w:t>
      </w:r>
      <w:r w:rsidR="00160338" w:rsidRPr="0065554C">
        <w:t xml:space="preserve"> es seleccionado como ganador, 0 si no es seleccionado como ganador.</w:t>
      </w:r>
    </w:p>
    <w:p w14:paraId="255447FB" w14:textId="77777777" w:rsidR="00160338" w:rsidRPr="0065554C" w:rsidRDefault="00140072" w:rsidP="005E311D">
      <w:pPr>
        <w:pStyle w:val="Texto2"/>
      </w:pPr>
      <m:oMath>
        <m:sSub>
          <m:sSubPr>
            <m:ctrlPr>
              <w:rPr>
                <w:rFonts w:ascii="Cambria Math" w:hAnsi="Cambria Math"/>
                <w:i/>
              </w:rPr>
            </m:ctrlPr>
          </m:sSubPr>
          <m:e>
            <m:r>
              <w:rPr>
                <w:rFonts w:ascii="Cambria Math" w:hAnsi="Cambria Math"/>
              </w:rPr>
              <m:t>u</m:t>
            </m:r>
          </m:e>
          <m:sub>
            <m:r>
              <w:rPr>
                <w:rFonts w:ascii="Cambria Math" w:hAnsi="Cambria Math"/>
              </w:rPr>
              <m:t>c</m:t>
            </m:r>
          </m:sub>
        </m:sSub>
      </m:oMath>
      <w:r w:rsidR="00160338" w:rsidRPr="0065554C">
        <w:t xml:space="preserve"> </w:t>
      </w:r>
      <w:r w:rsidR="00160338" w:rsidRPr="0065554C">
        <w:tab/>
      </w:r>
      <w:r w:rsidR="00160338" w:rsidRPr="0065554C">
        <w:tab/>
        <w:t xml:space="preserve">Variable binaria: 1 si la central </w:t>
      </w:r>
      <m:oMath>
        <m:r>
          <w:rPr>
            <w:rFonts w:ascii="Cambria Math" w:hAnsi="Cambria Math"/>
          </w:rPr>
          <m:t>c</m:t>
        </m:r>
      </m:oMath>
      <w:r w:rsidR="00160338" w:rsidRPr="0065554C">
        <w:t xml:space="preserve"> es seleccionado como ganador, 0 si no es seleccionado como ganador.</w:t>
      </w:r>
    </w:p>
    <w:p w14:paraId="2D5A385C" w14:textId="77777777" w:rsidR="00160338" w:rsidRPr="0065554C" w:rsidRDefault="00F57DC1" w:rsidP="005E311D">
      <w:pPr>
        <w:pStyle w:val="Texto2"/>
      </w:pPr>
      <w:r w:rsidRPr="0065554C">
        <w:rPr>
          <w:noProof/>
          <w:lang w:val="es-MX" w:eastAsia="es-MX" w:bidi="ar-SA"/>
        </w:rPr>
        <w:drawing>
          <wp:inline distT="0" distB="0" distL="0" distR="0" wp14:anchorId="08095CD5" wp14:editId="6A3B103F">
            <wp:extent cx="657225" cy="247650"/>
            <wp:effectExtent l="0" t="0" r="9525"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57225" cy="247650"/>
                    </a:xfrm>
                    <a:prstGeom prst="rect">
                      <a:avLst/>
                    </a:prstGeom>
                    <a:noFill/>
                    <a:ln>
                      <a:noFill/>
                    </a:ln>
                  </pic:spPr>
                </pic:pic>
              </a:graphicData>
            </a:graphic>
          </wp:inline>
        </w:drawing>
      </w:r>
      <w:r w:rsidR="00160338" w:rsidRPr="0065554C">
        <w:t xml:space="preserve"> </w:t>
      </w:r>
      <w:r w:rsidR="00160338" w:rsidRPr="0065554C">
        <w:tab/>
        <w:t xml:space="preserve">Esta variable representa la cantidad de Potencia asignada a la Oferta de Compra </w:t>
      </w:r>
      <w:r w:rsidR="00160338" w:rsidRPr="0065554C">
        <w:rPr>
          <w:i/>
        </w:rPr>
        <w:t>bp</w:t>
      </w:r>
      <w:r w:rsidR="00160338" w:rsidRPr="0065554C">
        <w:t xml:space="preserve"> del Suministrador de Servicios Básicos, en la Zona de Potencia </w:t>
      </w:r>
      <w:r w:rsidR="00160338" w:rsidRPr="0065554C">
        <w:rPr>
          <w:i/>
        </w:rPr>
        <w:t>zp</w:t>
      </w:r>
      <w:r w:rsidR="00160338" w:rsidRPr="0065554C">
        <w:t>.</w:t>
      </w:r>
    </w:p>
    <w:p w14:paraId="7930E288" w14:textId="77777777" w:rsidR="00160338" w:rsidRPr="0065554C" w:rsidRDefault="00F57DC1" w:rsidP="005E311D">
      <w:pPr>
        <w:pStyle w:val="Texto2"/>
      </w:pPr>
      <w:r w:rsidRPr="0065554C">
        <w:rPr>
          <w:noProof/>
          <w:lang w:val="es-MX" w:eastAsia="es-MX" w:bidi="ar-SA"/>
        </w:rPr>
        <w:drawing>
          <wp:inline distT="0" distB="0" distL="0" distR="0" wp14:anchorId="76EB3BEA" wp14:editId="396689F4">
            <wp:extent cx="561975" cy="247650"/>
            <wp:effectExtent l="0" t="0" r="9525" b="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61975" cy="247650"/>
                    </a:xfrm>
                    <a:prstGeom prst="rect">
                      <a:avLst/>
                    </a:prstGeom>
                    <a:noFill/>
                    <a:ln>
                      <a:noFill/>
                    </a:ln>
                  </pic:spPr>
                </pic:pic>
              </a:graphicData>
            </a:graphic>
          </wp:inline>
        </w:drawing>
      </w:r>
      <w:r w:rsidR="00160338" w:rsidRPr="0065554C">
        <w:t xml:space="preserve"> </w:t>
      </w:r>
      <w:r w:rsidR="00160338" w:rsidRPr="0065554C">
        <w:tab/>
        <w:t xml:space="preserve">Esta variable representa la cantidad de Energía Eléctrica Acumulable asignada a la Oferta de Compra </w:t>
      </w:r>
      <w:r w:rsidR="00160338" w:rsidRPr="0065554C">
        <w:rPr>
          <w:i/>
        </w:rPr>
        <w:t>be</w:t>
      </w:r>
      <w:r w:rsidR="00160338" w:rsidRPr="0065554C">
        <w:t xml:space="preserve"> del Suministrador de Servicios Básicos.</w:t>
      </w:r>
    </w:p>
    <w:p w14:paraId="636F75B0" w14:textId="77777777" w:rsidR="00160338" w:rsidRPr="0065554C" w:rsidRDefault="00F57DC1" w:rsidP="005E311D">
      <w:pPr>
        <w:pStyle w:val="Texto2"/>
      </w:pPr>
      <w:r w:rsidRPr="0065554C">
        <w:rPr>
          <w:noProof/>
          <w:lang w:val="es-MX" w:eastAsia="es-MX" w:bidi="ar-SA"/>
        </w:rPr>
        <w:drawing>
          <wp:inline distT="0" distB="0" distL="0" distR="0" wp14:anchorId="2DC7188E" wp14:editId="4A05BAEE">
            <wp:extent cx="533400" cy="247650"/>
            <wp:effectExtent l="0" t="0" r="0" b="0"/>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33400" cy="247650"/>
                    </a:xfrm>
                    <a:prstGeom prst="rect">
                      <a:avLst/>
                    </a:prstGeom>
                    <a:noFill/>
                    <a:ln>
                      <a:noFill/>
                    </a:ln>
                  </pic:spPr>
                </pic:pic>
              </a:graphicData>
            </a:graphic>
          </wp:inline>
        </w:drawing>
      </w:r>
      <w:r w:rsidR="00160338" w:rsidRPr="0065554C">
        <w:t xml:space="preserve"> </w:t>
      </w:r>
      <w:r w:rsidR="00160338" w:rsidRPr="0065554C">
        <w:tab/>
        <w:t xml:space="preserve">Esta variable representa la cantidad de CEL asignada a la Oferta de Compra </w:t>
      </w:r>
      <w:r w:rsidR="00160338" w:rsidRPr="0065554C">
        <w:rPr>
          <w:i/>
        </w:rPr>
        <w:t>bc</w:t>
      </w:r>
      <w:r w:rsidR="00160338" w:rsidRPr="0065554C">
        <w:t xml:space="preserve"> del Suministrador de Servicios Básicos.</w:t>
      </w:r>
    </w:p>
    <w:p w14:paraId="4602CB8F" w14:textId="77777777" w:rsidR="00160338" w:rsidRPr="0065554C" w:rsidRDefault="00160338" w:rsidP="005E311D">
      <w:pPr>
        <w:pStyle w:val="Numeral"/>
      </w:pPr>
      <w:r w:rsidRPr="0065554C">
        <w:t xml:space="preserve">En el </w:t>
      </w:r>
      <w:r w:rsidRPr="0065554C">
        <w:rPr>
          <w:b/>
        </w:rPr>
        <w:t>Anexo VI.2 Programa de Enteros Mixtos</w:t>
      </w:r>
      <w:r w:rsidRPr="0065554C">
        <w:t xml:space="preserve"> se presenta el modelo de optimización (programa de enteros mixtos), </w:t>
      </w:r>
      <w:r w:rsidR="00415BA4" w:rsidRPr="0065554C">
        <w:t xml:space="preserve">que se usará como mecanismo para determinar las ofertas de venta aceptadas y la cantidad de productos asignados a las ofertas de compra de la </w:t>
      </w:r>
      <w:r w:rsidR="00415BA4" w:rsidRPr="0065554C">
        <w:lastRenderedPageBreak/>
        <w:t>presente Subasta. Dicho modelo de optimización está elaborado con base en el modelo de optimización indicativo</w:t>
      </w:r>
      <w:r w:rsidRPr="0065554C">
        <w:t xml:space="preserve"> especificado en el numeral 5.7.5 del Manual de Subastas de Largo Plazo. </w:t>
      </w:r>
    </w:p>
    <w:p w14:paraId="744818FE" w14:textId="77777777" w:rsidR="00160338" w:rsidRPr="0065554C" w:rsidRDefault="00A77495" w:rsidP="005E311D">
      <w:pPr>
        <w:pStyle w:val="Numeral"/>
      </w:pPr>
      <w:r w:rsidRPr="0065554C">
        <w:t xml:space="preserve">Los parámetros, las variables y las ecuaciones matemáticas que componen el Programa de Enteros Mixtos se implementarán en un lenguaje de programación para manejo de bases de datos y un lenguaje de programación para la modelación matemática. La ejecución de dicha implementación </w:t>
      </w:r>
      <w:r w:rsidR="00160338" w:rsidRPr="0065554C">
        <w:t xml:space="preserve">computacional </w:t>
      </w:r>
      <w:r w:rsidR="00B26229" w:rsidRPr="0065554C">
        <w:t xml:space="preserve">determinará </w:t>
      </w:r>
      <w:r w:rsidR="00160338" w:rsidRPr="0065554C">
        <w:t>los ganadores de la Subasta por los montos de la Potencia, Energía Eléctrica Acumulable y CEL correspondientes a las Zonas de Potencia y Generación señaladas en las Bases de Licitación.</w:t>
      </w:r>
    </w:p>
    <w:p w14:paraId="0CF3C5A2" w14:textId="77777777" w:rsidR="00160338" w:rsidRPr="0065554C" w:rsidRDefault="00160338" w:rsidP="00160338">
      <w:pPr>
        <w:pStyle w:val="Seccin"/>
      </w:pPr>
      <w:bookmarkStart w:id="540" w:name="_Toc450201440"/>
      <w:bookmarkStart w:id="541" w:name="_Toc479255745"/>
      <w:bookmarkStart w:id="542" w:name="_Toc454100262"/>
      <w:bookmarkStart w:id="543" w:name="_Toc479763794"/>
      <w:bookmarkStart w:id="544" w:name="_Toc509413033"/>
      <w:bookmarkStart w:id="545" w:name="_Toc436487879"/>
      <w:bookmarkStart w:id="546" w:name="_Toc436433783"/>
      <w:bookmarkStart w:id="547" w:name="_Toc450638603"/>
      <w:r w:rsidRPr="0065554C">
        <w:t>Porcentaje Umbral</w:t>
      </w:r>
      <w:bookmarkEnd w:id="540"/>
      <w:bookmarkEnd w:id="541"/>
      <w:bookmarkEnd w:id="542"/>
      <w:bookmarkEnd w:id="543"/>
      <w:bookmarkEnd w:id="544"/>
    </w:p>
    <w:p w14:paraId="7EF186FA" w14:textId="77777777" w:rsidR="00160338" w:rsidRPr="0065554C" w:rsidRDefault="00160338" w:rsidP="005E311D">
      <w:pPr>
        <w:pStyle w:val="Numeral"/>
      </w:pPr>
      <w:r w:rsidRPr="0065554C">
        <w:t xml:space="preserve">Para efectos del numeral 6.7.4, la Secretaría calculará el referido porcentaje umbral y el CENACE lo publicará en el Sitio a más tardar cinco días hábiles después de la determinación de las Ofertas de Compra Aceptadas. El porcentaje umbral corresponderá al valor esperado del excedente económico total dividido por el valor económico máximo, bajo condiciones de competencia entre Licitantes. </w:t>
      </w:r>
    </w:p>
    <w:p w14:paraId="12D42EB1" w14:textId="77777777" w:rsidR="00160338" w:rsidRPr="0065554C" w:rsidRDefault="00160338" w:rsidP="00160338">
      <w:pPr>
        <w:pStyle w:val="Seccin"/>
      </w:pPr>
      <w:bookmarkStart w:id="548" w:name="_Toc450052198"/>
      <w:bookmarkStart w:id="549" w:name="_Toc312964168"/>
      <w:bookmarkStart w:id="550" w:name="_Toc450201441"/>
      <w:bookmarkStart w:id="551" w:name="_Toc479255746"/>
      <w:bookmarkStart w:id="552" w:name="_Toc454100263"/>
      <w:bookmarkStart w:id="553" w:name="_Toc479763795"/>
      <w:bookmarkStart w:id="554" w:name="_Toc509413034"/>
      <w:r w:rsidRPr="0065554C">
        <w:t>Proceso iterativo</w:t>
      </w:r>
      <w:bookmarkEnd w:id="545"/>
      <w:bookmarkEnd w:id="546"/>
      <w:bookmarkEnd w:id="547"/>
      <w:bookmarkEnd w:id="548"/>
      <w:bookmarkEnd w:id="549"/>
      <w:bookmarkEnd w:id="550"/>
      <w:bookmarkEnd w:id="551"/>
      <w:bookmarkEnd w:id="552"/>
      <w:bookmarkEnd w:id="553"/>
      <w:bookmarkEnd w:id="554"/>
    </w:p>
    <w:p w14:paraId="710FF82A" w14:textId="77777777" w:rsidR="00160338" w:rsidRPr="0065554C" w:rsidRDefault="00160338" w:rsidP="005E311D">
      <w:pPr>
        <w:pStyle w:val="Numeral"/>
      </w:pPr>
      <w:r w:rsidRPr="0065554C">
        <w:t>De conformidad con lo previsto en la Base 14.3.11 (d)</w:t>
      </w:r>
      <w:r w:rsidR="00686BBE" w:rsidRPr="0065554C">
        <w:t xml:space="preserve"> de las Bases del Mercado Eléctrico</w:t>
      </w:r>
      <w:r w:rsidRPr="0065554C">
        <w:t xml:space="preserve"> y en el numeral 5.7.6 del Manual de Subastas de Largo Plazo, la Subasta podrá utilizar un proceso iterativo para la recepción y evaluación de ofertas económicas de las Ofertas de Venta, sujeto a la reducción de precios en cada iteración hasta determinar un resultado final.</w:t>
      </w:r>
    </w:p>
    <w:p w14:paraId="0CB0687C" w14:textId="77777777" w:rsidR="00160338" w:rsidRPr="0065554C" w:rsidRDefault="00160338" w:rsidP="005E311D">
      <w:pPr>
        <w:pStyle w:val="Numeral"/>
      </w:pPr>
      <w:r w:rsidRPr="0065554C">
        <w:t>Para decidir si se utilizará un proceso iterativo en la Subasta, el CENACE calculará el valor económico máximo que el Comprador Potencial puede obtener a través de Contratos asignados en la Subasta, calculado como el producto entre el precio y la cantidad ofertada para el Producto, sumada entre todas las Ofertas de Compra.</w:t>
      </w:r>
    </w:p>
    <w:p w14:paraId="66A50F06" w14:textId="77777777" w:rsidR="00160338" w:rsidRPr="0065554C" w:rsidRDefault="00160338" w:rsidP="005E311D">
      <w:pPr>
        <w:pStyle w:val="Numeral"/>
      </w:pPr>
      <w:r w:rsidRPr="0065554C">
        <w:t xml:space="preserve">El CENACE evaluará las ofertas económicas de las Ofertas de Venta mediante la ejecución del programa de optimización descrito en el </w:t>
      </w:r>
      <w:r w:rsidRPr="0065554C">
        <w:rPr>
          <w:b/>
        </w:rPr>
        <w:t>Anexo VI.2</w:t>
      </w:r>
      <w:r w:rsidRPr="0065554C">
        <w:t>, y realizará un preproceso para descartar las ofertas que estén por arriba del precio máximo más alto que haya establecido el Comprador Potencial o, en su caso, la CRE, según lo establecido en el numeral 5.5.2 incisos (b),</w:t>
      </w:r>
      <w:r w:rsidRPr="0065554C" w:rsidDel="000927AC">
        <w:t xml:space="preserve"> </w:t>
      </w:r>
      <w:r w:rsidRPr="0065554C">
        <w:t xml:space="preserve">(c) y (d) del Manual de Subastas de Largo Plazo, y para desechar aquellas que estén por debajo del umbral mínimo señalado en el numeral 6.4.1 (b) de las Bases de Licitación. </w:t>
      </w:r>
    </w:p>
    <w:p w14:paraId="653E38F0" w14:textId="77777777" w:rsidR="00160338" w:rsidRPr="0065554C" w:rsidRDefault="00160338" w:rsidP="005E311D">
      <w:pPr>
        <w:pStyle w:val="Numeral"/>
      </w:pPr>
      <w:r w:rsidRPr="0065554C">
        <w:t xml:space="preserve">El CENACE calculará el excedente económico total que resulte de las Ofertas de Venta seleccionadas en forma preliminar. Si este excedente económico total resulta ser mayor o igual al porcentaje umbral del valor económico máximo, el CENACE no realizará el proceso iterativo que se describe en el numeral siguiente y esas Ofertas de Venta serán declaradas ganadoras mediante la publicación del Fallo. En caso de que el excedente económico total </w:t>
      </w:r>
      <w:r w:rsidRPr="0065554C">
        <w:lastRenderedPageBreak/>
        <w:t>resulte menor al porcentaje umbral del valor económico máximo, se realizará el mencionado proceso iterativo.</w:t>
      </w:r>
    </w:p>
    <w:p w14:paraId="1F1B2E46" w14:textId="77777777" w:rsidR="00160338" w:rsidRPr="0065554C" w:rsidRDefault="00160338" w:rsidP="005E311D">
      <w:pPr>
        <w:pStyle w:val="Numeral"/>
      </w:pPr>
      <w:r w:rsidRPr="0065554C">
        <w:t>El proceso iterativo se llevará a cabo dentro del plazo establecido en el Calendario de la Subasta y tendrá la siguiente mecánica:</w:t>
      </w:r>
    </w:p>
    <w:p w14:paraId="70CAFA29" w14:textId="77777777" w:rsidR="00160338" w:rsidRPr="0065554C" w:rsidRDefault="00160338" w:rsidP="005E311D">
      <w:pPr>
        <w:pStyle w:val="Inciso"/>
      </w:pPr>
      <w:r w:rsidRPr="0065554C">
        <w:t xml:space="preserve">Las ofertas económicas de las Ofertas de Venta serán evaluadas mediante la ejecución del programa de optimización descrito en el </w:t>
      </w:r>
      <w:r w:rsidRPr="0065554C">
        <w:rPr>
          <w:b/>
        </w:rPr>
        <w:t>Anexo VI.2</w:t>
      </w:r>
      <w:r w:rsidRPr="0065554C">
        <w:t>. De dicha ejecución emanará un vector binario de Ofertas de Venta seleccionadas y no seleccionadas preliminarmente, y un valor del excedente económico total. El CENACE anunciará mediante el Sitio, cuáles Ofertas de Venta han sido seleccionadas en forma preliminar, identificando públicamente sólo el precio y la cantidad de los Productos incluidos en cada una. El CENACE notificará a cada Licitante cuáles de sus Ofertas de Venta han sido seleccionadas en forma preliminar, mediante una notificación privada a través del Sitio a cada Licitante que haya resultado con Ofertas de Venta asignadas.</w:t>
      </w:r>
    </w:p>
    <w:p w14:paraId="35EBE2B8" w14:textId="77777777" w:rsidR="00160338" w:rsidRPr="0065554C" w:rsidRDefault="00160338" w:rsidP="005E311D">
      <w:pPr>
        <w:pStyle w:val="Inciso"/>
      </w:pPr>
      <w:r w:rsidRPr="0065554C">
        <w:t>Los Licitantes que presentaron ofertas económicas de las Ofertas de Venta, tanto quienes hayan presentado ofertas que resulten seleccionadas preliminarmente como quienes hayan presentado ofertas que no resulten seleccionadas preliminarmente, podrán mejorar su oferta económica durante el proceso iterativo</w:t>
      </w:r>
      <w:r w:rsidR="00EE1B2E" w:rsidRPr="0065554C">
        <w:t xml:space="preserve"> </w:t>
      </w:r>
      <w:r w:rsidR="00770C25" w:rsidRPr="0065554C">
        <w:t xml:space="preserve">señalado en el </w:t>
      </w:r>
      <w:r w:rsidR="00770C25" w:rsidRPr="0065554C">
        <w:rPr>
          <w:b/>
        </w:rPr>
        <w:t>Anexo I.1</w:t>
      </w:r>
      <w:r w:rsidRPr="0065554C">
        <w:t xml:space="preserve">. </w:t>
      </w:r>
    </w:p>
    <w:p w14:paraId="35656F02" w14:textId="77777777" w:rsidR="00160338" w:rsidRPr="0065554C" w:rsidRDefault="00160338" w:rsidP="005E311D">
      <w:pPr>
        <w:pStyle w:val="Inciso"/>
      </w:pPr>
      <w:r w:rsidRPr="0065554C">
        <w:t>Durante el proceso iterativo los Licitantes sólo podrán modificar el Precio Ofertado de sus Ofertas de Venta.</w:t>
      </w:r>
    </w:p>
    <w:p w14:paraId="0F60621E" w14:textId="77777777" w:rsidR="00160338" w:rsidRPr="0065554C" w:rsidRDefault="00160338" w:rsidP="005E311D">
      <w:pPr>
        <w:pStyle w:val="Inciso"/>
      </w:pPr>
      <w:r w:rsidRPr="0065554C">
        <w:t>En cada ronda del proceso iterativo, los Licitantes sólo podrán reducir el precio ofertado de su oferta económica. La reducción de su oferta económica deberá ser al menos por el decremento mínimo que dará a conocer el CENACE al momento de anunciar que se efectuará el proceso iterativo. Este decremento mínimo deberá ser igual o mayor a 0.5%. Esto es, en caso de que aplique el proceso iterativo, ningún Licitante estará obligado a mejorar su oferta económica; sin embargo, en caso de decidir mejorarla, deberán hacerlo por al menos el decremento mínimo que se establezca. Cuando un Licitante no presente una oferta económica mejorada para una Oferta de Venta dada, o cuando presente una nueva oferta económica que no cumpla con el decremento mínimo, el CENACE entenderá que la oferta económica anterior sigue vigente.</w:t>
      </w:r>
    </w:p>
    <w:p w14:paraId="7FA0C9D3" w14:textId="77777777" w:rsidR="00160338" w:rsidRPr="0065554C" w:rsidRDefault="00160338" w:rsidP="005E311D">
      <w:pPr>
        <w:pStyle w:val="Inciso"/>
      </w:pPr>
      <w:r w:rsidRPr="0065554C">
        <w:t xml:space="preserve">En cada ronda del proceso iterativo se ejecutará nuevamente el programa de optimización descrito en el </w:t>
      </w:r>
      <w:r w:rsidRPr="0065554C">
        <w:rPr>
          <w:b/>
        </w:rPr>
        <w:t>Anexo VI.2</w:t>
      </w:r>
      <w:r w:rsidRPr="0065554C">
        <w:t>:</w:t>
      </w:r>
    </w:p>
    <w:p w14:paraId="566B94F1" w14:textId="77777777" w:rsidR="00160338" w:rsidRPr="0065554C" w:rsidRDefault="00160338" w:rsidP="005E311D">
      <w:pPr>
        <w:pStyle w:val="Subinciso"/>
      </w:pPr>
      <w:r w:rsidRPr="0065554C">
        <w:t xml:space="preserve">Si el valor del excedente económico total de la nueva solución es mayor al obtenido con la solución seleccionada previamente por una magnitud superior al 1% de esta última, la selección nueva se denominará la “nueva solución aceptada” y los Licitantes que presentaron Ofertas de Venta tanto las que resulten seleccionadas como las que no resulten seleccionadas de manera preliminar– podrán presentar una nueva oferta económica en los términos descritos en este numeral inciso (d). Este proceso iterativo se repetirá en tanto el valor del excedente </w:t>
      </w:r>
      <w:r w:rsidRPr="0065554C">
        <w:lastRenderedPageBreak/>
        <w:t>económico total de la última solución sea mayor al 1% de la solución previa.</w:t>
      </w:r>
    </w:p>
    <w:p w14:paraId="783DD3F7" w14:textId="77777777" w:rsidR="00160338" w:rsidRPr="0065554C" w:rsidRDefault="00160338" w:rsidP="005E311D">
      <w:pPr>
        <w:pStyle w:val="Subinciso"/>
      </w:pPr>
      <w:r w:rsidRPr="0065554C">
        <w:t xml:space="preserve">Por ende, si el valor del excedente económico total de la nueva solución es igual o menor al 101% de la solución previa, la solución previa será la definitiva y las Ofertas de Venta correspondientes serán declaradas como Ofertas de Venta ganadoras. </w:t>
      </w:r>
    </w:p>
    <w:p w14:paraId="76F99294" w14:textId="77777777" w:rsidR="00160338" w:rsidRPr="0065554C" w:rsidRDefault="00160338" w:rsidP="00160338">
      <w:pPr>
        <w:pStyle w:val="Seccin"/>
      </w:pPr>
      <w:bookmarkStart w:id="555" w:name="_Toc436487880"/>
      <w:bookmarkStart w:id="556" w:name="_Toc436433784"/>
      <w:bookmarkStart w:id="557" w:name="_Toc450052199"/>
      <w:bookmarkStart w:id="558" w:name="_Toc312964169"/>
      <w:bookmarkStart w:id="559" w:name="_Toc450201442"/>
      <w:bookmarkStart w:id="560" w:name="_Toc450638604"/>
      <w:bookmarkStart w:id="561" w:name="_Toc479255747"/>
      <w:bookmarkStart w:id="562" w:name="_Toc454100264"/>
      <w:bookmarkStart w:id="563" w:name="_Toc479763796"/>
      <w:bookmarkStart w:id="564" w:name="_Toc509413035"/>
      <w:r w:rsidRPr="0065554C">
        <w:t>Resultados de la evaluación económica de las Ofertas de Venta</w:t>
      </w:r>
      <w:bookmarkEnd w:id="555"/>
      <w:bookmarkEnd w:id="556"/>
      <w:bookmarkEnd w:id="557"/>
      <w:bookmarkEnd w:id="558"/>
      <w:bookmarkEnd w:id="559"/>
      <w:bookmarkEnd w:id="560"/>
      <w:bookmarkEnd w:id="561"/>
      <w:bookmarkEnd w:id="562"/>
      <w:bookmarkEnd w:id="563"/>
      <w:bookmarkEnd w:id="564"/>
    </w:p>
    <w:p w14:paraId="5F792EAD" w14:textId="77777777" w:rsidR="00160338" w:rsidRPr="0065554C" w:rsidRDefault="00160338" w:rsidP="005E311D">
      <w:pPr>
        <w:pStyle w:val="Numeral"/>
      </w:pPr>
      <w:r w:rsidRPr="0065554C">
        <w:t>El CENACE dará a conocer los resultados finales de la evaluación económica a través del Fallo, para todos los efectos legales a que haya lugar</w:t>
      </w:r>
      <w:r w:rsidR="00051F53" w:rsidRPr="0065554C">
        <w:t>,</w:t>
      </w:r>
      <w:r w:rsidRPr="0065554C">
        <w:t xml:space="preserve"> mismo que será emitido en términos de lo previsto en el numeral 7.1. Por </w:t>
      </w:r>
      <w:r w:rsidR="00051F53" w:rsidRPr="0065554C">
        <w:t xml:space="preserve">lo </w:t>
      </w:r>
      <w:r w:rsidRPr="0065554C">
        <w:t>tanto, cualquier resultado, información o solución dada a conocer por otro medio que no sea el Fallo no será considerada oficial ni válida.</w:t>
      </w:r>
    </w:p>
    <w:p w14:paraId="470086E0" w14:textId="77777777" w:rsidR="00160338" w:rsidRPr="0065554C" w:rsidRDefault="00160338" w:rsidP="00361661">
      <w:pPr>
        <w:pStyle w:val="Captulo"/>
      </w:pPr>
      <w:bookmarkStart w:id="565" w:name="_Toc436433785"/>
      <w:r w:rsidRPr="0065554C">
        <w:lastRenderedPageBreak/>
        <w:br/>
      </w:r>
      <w:bookmarkStart w:id="566" w:name="_Toc450052200"/>
      <w:bookmarkStart w:id="567" w:name="_Toc312964170"/>
      <w:bookmarkStart w:id="568" w:name="_Toc450201443"/>
      <w:bookmarkStart w:id="569" w:name="_Toc436433786"/>
      <w:bookmarkStart w:id="570" w:name="_Toc436487882"/>
      <w:bookmarkStart w:id="571" w:name="_Toc450638605"/>
      <w:bookmarkStart w:id="572" w:name="_Toc479255748"/>
      <w:bookmarkStart w:id="573" w:name="_Toc454100265"/>
      <w:bookmarkStart w:id="574" w:name="_Toc479763797"/>
      <w:bookmarkStart w:id="575" w:name="_Toc509413036"/>
      <w:bookmarkEnd w:id="565"/>
      <w:r w:rsidRPr="0065554C">
        <w:t xml:space="preserve">Fallo de </w:t>
      </w:r>
      <w:bookmarkEnd w:id="566"/>
      <w:bookmarkEnd w:id="567"/>
      <w:bookmarkEnd w:id="568"/>
      <w:r w:rsidRPr="0065554C">
        <w:t>la Subasta</w:t>
      </w:r>
      <w:bookmarkEnd w:id="569"/>
      <w:bookmarkEnd w:id="570"/>
      <w:bookmarkEnd w:id="571"/>
      <w:bookmarkEnd w:id="572"/>
      <w:bookmarkEnd w:id="573"/>
      <w:bookmarkEnd w:id="574"/>
      <w:bookmarkEnd w:id="575"/>
    </w:p>
    <w:p w14:paraId="7A432C05" w14:textId="77777777" w:rsidR="00160338" w:rsidRPr="0065554C" w:rsidRDefault="00160338" w:rsidP="00D42E95">
      <w:pPr>
        <w:pStyle w:val="Seccin"/>
        <w:numPr>
          <w:ilvl w:val="1"/>
          <w:numId w:val="14"/>
        </w:numPr>
      </w:pPr>
      <w:bookmarkStart w:id="576" w:name="_Toc436487883"/>
      <w:bookmarkStart w:id="577" w:name="_Toc436433787"/>
      <w:bookmarkStart w:id="578" w:name="_Toc450638606"/>
      <w:bookmarkStart w:id="579" w:name="_Toc479255749"/>
      <w:bookmarkStart w:id="580" w:name="_Toc454100266"/>
      <w:bookmarkStart w:id="581" w:name="_Toc479763798"/>
      <w:bookmarkStart w:id="582" w:name="_Toc509413037"/>
      <w:r w:rsidRPr="0065554C">
        <w:t>Fallo</w:t>
      </w:r>
      <w:bookmarkEnd w:id="576"/>
      <w:bookmarkEnd w:id="577"/>
      <w:r w:rsidRPr="0065554C">
        <w:t xml:space="preserve"> de la Subasta</w:t>
      </w:r>
      <w:bookmarkEnd w:id="578"/>
      <w:bookmarkEnd w:id="579"/>
      <w:bookmarkEnd w:id="580"/>
      <w:bookmarkEnd w:id="581"/>
      <w:bookmarkEnd w:id="582"/>
    </w:p>
    <w:p w14:paraId="7DFCA430" w14:textId="77777777" w:rsidR="00160338" w:rsidRPr="0065554C" w:rsidRDefault="00160338" w:rsidP="005E311D">
      <w:pPr>
        <w:pStyle w:val="Numeral"/>
      </w:pPr>
      <w:r w:rsidRPr="0065554C">
        <w:t>Una vez que el CENACE haya evaluado las Ofertas de Venta y seleccionado las ganadoras:</w:t>
      </w:r>
    </w:p>
    <w:p w14:paraId="6033C6B0" w14:textId="77777777" w:rsidR="00160338" w:rsidRPr="0065554C" w:rsidRDefault="00160338" w:rsidP="005E311D">
      <w:pPr>
        <w:pStyle w:val="Inciso"/>
      </w:pPr>
      <w:r w:rsidRPr="0065554C">
        <w:t>emitirá el Fallo correspondiente;</w:t>
      </w:r>
    </w:p>
    <w:p w14:paraId="3D5A3484" w14:textId="77777777" w:rsidR="00160338" w:rsidRPr="0065554C" w:rsidRDefault="00160338" w:rsidP="005E311D">
      <w:pPr>
        <w:pStyle w:val="Inciso"/>
      </w:pPr>
      <w:r w:rsidRPr="0065554C">
        <w:t>asignará los Contratos resultantes, y</w:t>
      </w:r>
    </w:p>
    <w:p w14:paraId="489D78FB" w14:textId="77777777" w:rsidR="00160338" w:rsidRPr="0065554C" w:rsidRDefault="00160338" w:rsidP="005E311D">
      <w:pPr>
        <w:pStyle w:val="Inciso"/>
      </w:pPr>
      <w:r w:rsidRPr="0065554C">
        <w:t>hará públicos los resultados del modelo de optimización utilizado en el proceso de selección.</w:t>
      </w:r>
    </w:p>
    <w:p w14:paraId="5C370488" w14:textId="77777777" w:rsidR="00160338" w:rsidRPr="0065554C" w:rsidRDefault="00160338" w:rsidP="005E311D">
      <w:pPr>
        <w:pStyle w:val="Numeral"/>
      </w:pPr>
      <w:r w:rsidRPr="0065554C">
        <w:t>El Fallo de la Subasta contendrá al menos la información siguiente:</w:t>
      </w:r>
    </w:p>
    <w:p w14:paraId="45B5BCF5" w14:textId="77777777" w:rsidR="00160338" w:rsidRPr="0065554C" w:rsidRDefault="00160338" w:rsidP="005E311D">
      <w:pPr>
        <w:pStyle w:val="Inciso"/>
      </w:pPr>
      <w:r w:rsidRPr="0065554C">
        <w:t>La relación de Ofertas de Venta declaradas como ganadoras y el detalle de las mismas, incluyendo la identificación del Licitante.</w:t>
      </w:r>
    </w:p>
    <w:p w14:paraId="681EDDE4" w14:textId="77777777" w:rsidR="00160338" w:rsidRPr="0065554C" w:rsidRDefault="00160338" w:rsidP="005E311D">
      <w:pPr>
        <w:pStyle w:val="Inciso"/>
      </w:pPr>
      <w:r w:rsidRPr="0065554C">
        <w:t>La relación de Ofertas de Venta que no fueron declaradas como ganadoras y el detalle de las mismas, incluyendo la identificación del Licitante.</w:t>
      </w:r>
    </w:p>
    <w:p w14:paraId="03335A56" w14:textId="77777777" w:rsidR="00160338" w:rsidRPr="0065554C" w:rsidRDefault="00160338" w:rsidP="005E311D">
      <w:pPr>
        <w:pStyle w:val="Inciso"/>
      </w:pPr>
      <w:r w:rsidRPr="0065554C">
        <w:t>La relación de Ofertas de Venta que obtuvieron Dictamen No Favorable o que hayan sido desechadas.</w:t>
      </w:r>
    </w:p>
    <w:p w14:paraId="641D34EF" w14:textId="77777777" w:rsidR="00160338" w:rsidRPr="0065554C" w:rsidRDefault="00160338" w:rsidP="005E311D">
      <w:pPr>
        <w:pStyle w:val="Inciso"/>
      </w:pPr>
      <w:r w:rsidRPr="0065554C">
        <w:t>Fecha límite para la presentación de Garantías de Cumplimiento.</w:t>
      </w:r>
    </w:p>
    <w:p w14:paraId="4F84AEA9" w14:textId="77777777" w:rsidR="00160338" w:rsidRPr="0065554C" w:rsidRDefault="00160338" w:rsidP="005E311D">
      <w:pPr>
        <w:pStyle w:val="Inciso"/>
      </w:pPr>
      <w:r w:rsidRPr="0065554C">
        <w:t>Fecha límite para la presentación de Garantías Financieras para los Licitantes que se encuentren obligados a ello.</w:t>
      </w:r>
    </w:p>
    <w:p w14:paraId="302D6136" w14:textId="77777777" w:rsidR="00160338" w:rsidRPr="0065554C" w:rsidRDefault="00160338" w:rsidP="005E311D">
      <w:pPr>
        <w:pStyle w:val="Inciso"/>
      </w:pPr>
      <w:r w:rsidRPr="0065554C">
        <w:t>Fecha</w:t>
      </w:r>
      <w:r w:rsidR="005B4099" w:rsidRPr="0065554C">
        <w:t xml:space="preserve"> y</w:t>
      </w:r>
      <w:r w:rsidRPr="0065554C">
        <w:t xml:space="preserve"> lugar para la firma de los Contratos.</w:t>
      </w:r>
    </w:p>
    <w:p w14:paraId="57F729F6" w14:textId="77777777" w:rsidR="00160338" w:rsidRPr="0065554C" w:rsidRDefault="00160338" w:rsidP="005E311D">
      <w:pPr>
        <w:pStyle w:val="Inciso"/>
      </w:pPr>
      <w:r w:rsidRPr="0065554C">
        <w:t>La fecha de emisión del Fallo.</w:t>
      </w:r>
    </w:p>
    <w:p w14:paraId="401197F0" w14:textId="77777777" w:rsidR="00160338" w:rsidRPr="0065554C" w:rsidRDefault="00160338" w:rsidP="005E311D">
      <w:pPr>
        <w:pStyle w:val="Inciso"/>
      </w:pPr>
      <w:r w:rsidRPr="0065554C">
        <w:t>Los datos de identificación de la unidad administrativa emisora del Fallo.</w:t>
      </w:r>
    </w:p>
    <w:p w14:paraId="7DFE964B" w14:textId="77777777" w:rsidR="00160338" w:rsidRPr="0065554C" w:rsidRDefault="00160338" w:rsidP="005E311D">
      <w:pPr>
        <w:pStyle w:val="Inciso"/>
      </w:pPr>
      <w:r w:rsidRPr="0065554C">
        <w:t xml:space="preserve">Medios de impugnación aplicables al Fallo. </w:t>
      </w:r>
    </w:p>
    <w:p w14:paraId="2AD8BFB9" w14:textId="77777777" w:rsidR="00160338" w:rsidRPr="0065554C" w:rsidRDefault="00160338" w:rsidP="005E311D">
      <w:pPr>
        <w:pStyle w:val="Inciso"/>
      </w:pPr>
      <w:r w:rsidRPr="0065554C">
        <w:t>Nombre y cargo de los responsables de la evaluación de las Ofertas de Venta.</w:t>
      </w:r>
    </w:p>
    <w:p w14:paraId="583FD514" w14:textId="77777777" w:rsidR="00160338" w:rsidRPr="0065554C" w:rsidRDefault="00160338" w:rsidP="005E311D">
      <w:pPr>
        <w:pStyle w:val="Subinciso"/>
        <w:numPr>
          <w:ilvl w:val="0"/>
          <w:numId w:val="0"/>
        </w:numPr>
      </w:pPr>
    </w:p>
    <w:p w14:paraId="23DE34F0" w14:textId="77777777" w:rsidR="00160338" w:rsidRPr="0065554C" w:rsidRDefault="00160338" w:rsidP="005E311D">
      <w:pPr>
        <w:pStyle w:val="Numeral"/>
      </w:pPr>
      <w:r w:rsidRPr="0065554C">
        <w:t xml:space="preserve">El Fallo de la Subasta no incluirá información reservada o confidencial, en los términos de las disposiciones aplicables. </w:t>
      </w:r>
    </w:p>
    <w:p w14:paraId="1EA19868" w14:textId="77777777" w:rsidR="00160338" w:rsidRPr="0065554C" w:rsidRDefault="00160338" w:rsidP="005E311D">
      <w:pPr>
        <w:pStyle w:val="Numeral"/>
      </w:pPr>
      <w:r w:rsidRPr="0065554C">
        <w:t>El día hábil siguiente a que se emita el Fallo de la Subasta, el CENACE publicará en el Sitio un extracto de dicho Fallo que contendrá al menos la siguiente información:</w:t>
      </w:r>
    </w:p>
    <w:p w14:paraId="3860909E" w14:textId="77777777" w:rsidR="00160338" w:rsidRPr="0065554C" w:rsidRDefault="00160338" w:rsidP="005E311D">
      <w:pPr>
        <w:pStyle w:val="Inciso"/>
      </w:pPr>
      <w:r w:rsidRPr="0065554C">
        <w:lastRenderedPageBreak/>
        <w:t>La identificación de las Ofertas de Venta declaradas ganadoras y de los Licitantes asignatarios de los Contratos.</w:t>
      </w:r>
    </w:p>
    <w:p w14:paraId="6B98D822" w14:textId="77777777" w:rsidR="00160338" w:rsidRPr="0065554C" w:rsidRDefault="00160338" w:rsidP="005E311D">
      <w:pPr>
        <w:pStyle w:val="Inciso"/>
      </w:pPr>
      <w:r w:rsidRPr="0065554C">
        <w:t>La cantidad de Productos incluidos en cada Oferta de Venta declarada ganadora, especificando las Zonas de Generación y las Zonas de Potencia a las que correspondan.</w:t>
      </w:r>
    </w:p>
    <w:p w14:paraId="61A88F47" w14:textId="77777777" w:rsidR="00160338" w:rsidRPr="0065554C" w:rsidRDefault="00160338" w:rsidP="005E311D">
      <w:pPr>
        <w:pStyle w:val="Inciso"/>
      </w:pPr>
      <w:r w:rsidRPr="0065554C">
        <w:t xml:space="preserve">La Fecha de Operación Comercial Ofertada de cada Oferta de Venta declarada ganadora. </w:t>
      </w:r>
    </w:p>
    <w:p w14:paraId="1A8D8B9C" w14:textId="77777777" w:rsidR="00160338" w:rsidRPr="0065554C" w:rsidRDefault="00160338" w:rsidP="005E311D">
      <w:pPr>
        <w:pStyle w:val="Inciso"/>
      </w:pPr>
      <w:r w:rsidRPr="0065554C">
        <w:t xml:space="preserve">Los precios ofertados en cada Oferta de Venta declarada ganadora. </w:t>
      </w:r>
    </w:p>
    <w:p w14:paraId="433199F7" w14:textId="77777777" w:rsidR="00160338" w:rsidRPr="0065554C" w:rsidRDefault="00160338" w:rsidP="005E311D">
      <w:pPr>
        <w:pStyle w:val="Inciso"/>
      </w:pPr>
      <w:r w:rsidRPr="0065554C">
        <w:t>Los archivos utilizados para llevar a cabo la optimización.</w:t>
      </w:r>
    </w:p>
    <w:p w14:paraId="60EC7EB5" w14:textId="77777777" w:rsidR="00160338" w:rsidRPr="0065554C" w:rsidRDefault="00160338" w:rsidP="005E311D">
      <w:pPr>
        <w:pStyle w:val="Inciso"/>
      </w:pPr>
      <w:r w:rsidRPr="0065554C">
        <w:t xml:space="preserve">En su caso, las Ofertas de Venta y los precios recibidos en cada iteración. </w:t>
      </w:r>
    </w:p>
    <w:p w14:paraId="6BC5C7C2" w14:textId="77777777" w:rsidR="006C3856" w:rsidRPr="0065554C" w:rsidRDefault="006C3856" w:rsidP="00D57637">
      <w:pPr>
        <w:pStyle w:val="Numeral"/>
      </w:pPr>
      <w:r w:rsidRPr="0065554C">
        <w:t xml:space="preserve">Dado que existe la posibilidad que el número de ofertas presentadas y el número de cartas de crédito que conforman la Garantía de Seriedad adolezcan de una relación biunívoca (es decir, asociar cada oferta con una y solo una de las cartas de crédito presentadas por cada </w:t>
      </w:r>
      <w:r w:rsidR="00794D87" w:rsidRPr="0065554C">
        <w:t>C</w:t>
      </w:r>
      <w:r w:rsidRPr="0065554C">
        <w:t xml:space="preserve">omprador </w:t>
      </w:r>
      <w:r w:rsidR="00794D87" w:rsidRPr="0065554C">
        <w:t>P</w:t>
      </w:r>
      <w:r w:rsidRPr="0065554C">
        <w:t xml:space="preserve">otencial y/o </w:t>
      </w:r>
      <w:r w:rsidR="00794D87" w:rsidRPr="0065554C">
        <w:t>L</w:t>
      </w:r>
      <w:r w:rsidRPr="0065554C">
        <w:t xml:space="preserve">icitante según corresponda), </w:t>
      </w:r>
      <w:bookmarkStart w:id="583" w:name="_Hlk505286283"/>
      <w:r w:rsidRPr="0065554C">
        <w:t>solamente en los casos donde para un mismo Comprador Potencial y/o Licitante no sea posible asociar el valor total de las ofertas presentadas que no resultaron seleccionadas con el importe total amparado por una o un conjunto de cartas de crédito entregadas al CENACE</w:t>
      </w:r>
      <w:bookmarkEnd w:id="583"/>
      <w:r w:rsidRPr="0065554C">
        <w:t xml:space="preserve">; resultará necesario que el Comprador Potencial y/o el Licitante indique el o los instrumentos que requerirán la emisión de la conformidad de cancelación y/o el formato de conformidad de reducción. </w:t>
      </w:r>
    </w:p>
    <w:p w14:paraId="1D8D4DCC" w14:textId="77777777" w:rsidR="006C3856" w:rsidRPr="0065554C" w:rsidRDefault="006C3856" w:rsidP="006C3856">
      <w:pPr>
        <w:pStyle w:val="Numeral"/>
        <w:numPr>
          <w:ilvl w:val="0"/>
          <w:numId w:val="0"/>
        </w:numPr>
        <w:ind w:left="1844"/>
      </w:pPr>
      <w:r w:rsidRPr="0065554C">
        <w:t>Para mayor abundamiento, en caso de que el valor en UDIS de las ofertas presentadas que no resultaron seleccionadas sea distinto del valor total en UDIS de la o las cartas de crédito presentadas, existe la posibilidad que las Garantías de Seriedad que respaldan ofertas que no fueron seleccionadas cumplan con al menos de una de las siguientes características:</w:t>
      </w:r>
    </w:p>
    <w:p w14:paraId="50EE4960" w14:textId="77777777" w:rsidR="006C3856" w:rsidRPr="0065554C" w:rsidRDefault="006C3856" w:rsidP="0032207F">
      <w:pPr>
        <w:pStyle w:val="Inciso"/>
      </w:pPr>
      <w:r w:rsidRPr="0065554C">
        <w:t>La o las ofertas no seleccionadas sean cubiertas por el valor de más de una carta de crédito.</w:t>
      </w:r>
    </w:p>
    <w:p w14:paraId="6081BF8A" w14:textId="77777777" w:rsidR="006C3856" w:rsidRPr="0065554C" w:rsidRDefault="006C3856" w:rsidP="0032207F">
      <w:pPr>
        <w:pStyle w:val="Inciso"/>
      </w:pPr>
      <w:r w:rsidRPr="0065554C">
        <w:t>El valor total de la o las ofertas no seleccionadas sea menor que el valor de una carta o un conjunto de cartas de crédito.</w:t>
      </w:r>
    </w:p>
    <w:p w14:paraId="6C9DFEE6" w14:textId="77777777" w:rsidR="0049224C" w:rsidRPr="0065554C" w:rsidRDefault="006C3856" w:rsidP="0002657C">
      <w:pPr>
        <w:pStyle w:val="Numeral"/>
        <w:numPr>
          <w:ilvl w:val="0"/>
          <w:numId w:val="0"/>
        </w:numPr>
        <w:ind w:left="1844"/>
      </w:pPr>
      <w:r w:rsidRPr="0065554C">
        <w:t xml:space="preserve">Con base en lo anterior, a partir del día hábil siguiente a la emisión del Fallo de la </w:t>
      </w:r>
      <w:r w:rsidR="00794D87" w:rsidRPr="0065554C">
        <w:t>s</w:t>
      </w:r>
      <w:r w:rsidRPr="0065554C">
        <w:t xml:space="preserve">ubasta, los Compradores Potenciales y/o Licitantes que cumplan con los supuestos anteriores solicitarán por escrito al CENACE </w:t>
      </w:r>
      <w:bookmarkStart w:id="584" w:name="_Hlk505286387"/>
      <w:r w:rsidRPr="0065554C">
        <w:t xml:space="preserve">una liberación parcial hasta por el valor de aquellas </w:t>
      </w:r>
      <w:r w:rsidR="00794D87" w:rsidRPr="0065554C">
        <w:t>o</w:t>
      </w:r>
      <w:r w:rsidRPr="0065554C">
        <w:t>fertas que no resultaron ganadoras</w:t>
      </w:r>
      <w:bookmarkEnd w:id="584"/>
      <w:r w:rsidRPr="0065554C">
        <w:t xml:space="preserve">, mediante la reducción del monto de la </w:t>
      </w:r>
      <w:r w:rsidR="00794D87" w:rsidRPr="0065554C">
        <w:t>c</w:t>
      </w:r>
      <w:r w:rsidRPr="0065554C">
        <w:t xml:space="preserve">arta o </w:t>
      </w:r>
      <w:r w:rsidR="00794D87" w:rsidRPr="0065554C">
        <w:t>c</w:t>
      </w:r>
      <w:r w:rsidRPr="0065554C">
        <w:t xml:space="preserve">artas de </w:t>
      </w:r>
      <w:r w:rsidR="00794D87" w:rsidRPr="0065554C">
        <w:t>c</w:t>
      </w:r>
      <w:r w:rsidRPr="0065554C">
        <w:t>rédito, o bien, solicitarán la emisión de la conformidad de cancelación por parte del CENACE en el entendido que el Comprador Potencial y/o el Licitante indicarán el monto de la reducción y el importe final de la o las cartas de crédito considerando dicha reducción así como aquellas cartas de crédito de las cuales desean obtener por parte del CENACE el más amplio finiquito.</w:t>
      </w:r>
    </w:p>
    <w:p w14:paraId="0448C1BB" w14:textId="77777777" w:rsidR="0049224C" w:rsidRPr="0065554C" w:rsidRDefault="0002657C" w:rsidP="0002657C">
      <w:pPr>
        <w:pStyle w:val="Numeral"/>
      </w:pPr>
      <w:r w:rsidRPr="0065554C">
        <w:t xml:space="preserve">Solamente en los casos donde para un mismo Comprador Potencial o Licitante sea posible asociar el valor total de las ofertas presentadas que no resultaron seleccionadas con el importe total amparado por una o un conjunto de cartas de crédito entregadas al CENACE sin que una liberación parcial </w:t>
      </w:r>
      <w:r w:rsidR="00D76A6F" w:rsidRPr="0065554C">
        <w:t xml:space="preserve">sea necesaria en virtud de que el importe total amparado por </w:t>
      </w:r>
      <w:r w:rsidR="00D76A6F" w:rsidRPr="0065554C">
        <w:lastRenderedPageBreak/>
        <w:t>los instrumentos presentados coincide con el valor total de las ofertas que no fueron seleccionadas (en el caso de las Ofertas de Compra) o que no resultaron ganadoras (en el caso de las Ofertas de Venta),</w:t>
      </w:r>
      <w:r w:rsidRPr="0065554C">
        <w:t xml:space="preserve"> al día siguiente de la emisión del fallo, el CENACE emitirá su conformidad sobre la cancelación de la carta de crédito mediante el A</w:t>
      </w:r>
      <w:r w:rsidR="00FB7DC5" w:rsidRPr="0065554C">
        <w:t>nexo</w:t>
      </w:r>
      <w:r w:rsidRPr="0065554C">
        <w:t xml:space="preserve"> “D” </w:t>
      </w:r>
      <w:r w:rsidR="00FB7DC5" w:rsidRPr="0065554C">
        <w:t>“Formato de conformidad de cancelación de la carta de crédito standby irrevocable”</w:t>
      </w:r>
      <w:r w:rsidRPr="0065554C">
        <w:t xml:space="preserve"> incluido en los </w:t>
      </w:r>
      <w:r w:rsidR="002715CB" w:rsidRPr="0065554C">
        <w:rPr>
          <w:b/>
        </w:rPr>
        <w:t>A</w:t>
      </w:r>
      <w:r w:rsidRPr="0065554C">
        <w:rPr>
          <w:b/>
        </w:rPr>
        <w:t>nexos IV.3 Bis</w:t>
      </w:r>
      <w:r w:rsidRPr="0065554C">
        <w:t xml:space="preserve"> </w:t>
      </w:r>
      <w:r w:rsidR="00770C25" w:rsidRPr="0065554C">
        <w:t xml:space="preserve">o </w:t>
      </w:r>
      <w:r w:rsidR="00770C25" w:rsidRPr="0065554C">
        <w:rPr>
          <w:b/>
        </w:rPr>
        <w:t>Anexo</w:t>
      </w:r>
      <w:r w:rsidRPr="0065554C">
        <w:t xml:space="preserve"> </w:t>
      </w:r>
      <w:r w:rsidRPr="0065554C">
        <w:rPr>
          <w:b/>
        </w:rPr>
        <w:t>V.20</w:t>
      </w:r>
      <w:r w:rsidR="002715CB" w:rsidRPr="0065554C">
        <w:t>,</w:t>
      </w:r>
      <w:r w:rsidRPr="0065554C">
        <w:t xml:space="preserve"> según corresponda.</w:t>
      </w:r>
    </w:p>
    <w:p w14:paraId="763CE64B" w14:textId="77777777" w:rsidR="00160338" w:rsidRPr="0065554C" w:rsidRDefault="00160338" w:rsidP="005E311D">
      <w:pPr>
        <w:pStyle w:val="Numeral"/>
      </w:pPr>
      <w:r w:rsidRPr="0065554C">
        <w:t xml:space="preserve">Dentro de los </w:t>
      </w:r>
      <w:r w:rsidR="00B67D96" w:rsidRPr="0065554C">
        <w:t>dos</w:t>
      </w:r>
      <w:r w:rsidRPr="0065554C">
        <w:t xml:space="preserve"> días hábiles siguientes a la emisión del Fallo de la Subasta, el CENACE notificará por escrito, a cada Licitante que haya resultado asignatario, las Ofertas de Venta que fueron declaradas ganadoras en la Subasta, incluyendo los siguientes parámetros:</w:t>
      </w:r>
    </w:p>
    <w:p w14:paraId="195BB067" w14:textId="77777777" w:rsidR="00160338" w:rsidRPr="0065554C" w:rsidRDefault="00160338" w:rsidP="005E311D">
      <w:pPr>
        <w:pStyle w:val="Inciso"/>
      </w:pPr>
      <w:r w:rsidRPr="0065554C">
        <w:t>La identificación de las Centrales Eléctricas comprometidas para el cumplimiento del Contrato, y en su caso los porcentajes respectivos de cada una de ellas.</w:t>
      </w:r>
    </w:p>
    <w:p w14:paraId="6D8B1B49" w14:textId="77777777" w:rsidR="00160338" w:rsidRPr="0065554C" w:rsidRDefault="00160338" w:rsidP="005E311D">
      <w:pPr>
        <w:pStyle w:val="Inciso"/>
      </w:pPr>
      <w:r w:rsidRPr="0065554C">
        <w:t>Las Zonas de Generación y la Zona de Potencia en las que se ubican las Centrales Eléctricas.</w:t>
      </w:r>
    </w:p>
    <w:p w14:paraId="0CA29E62" w14:textId="77777777" w:rsidR="00160338" w:rsidRPr="0065554C" w:rsidRDefault="00160338" w:rsidP="005E311D">
      <w:pPr>
        <w:pStyle w:val="Inciso"/>
      </w:pPr>
      <w:r w:rsidRPr="0065554C">
        <w:t>La Fecha de Operación Comercial Ofertada.</w:t>
      </w:r>
    </w:p>
    <w:p w14:paraId="55A2C794" w14:textId="77777777" w:rsidR="00160338" w:rsidRPr="0065554C" w:rsidRDefault="00160338" w:rsidP="005E311D">
      <w:pPr>
        <w:pStyle w:val="Inciso"/>
      </w:pPr>
      <w:r w:rsidRPr="0065554C">
        <w:t>Las cantidades de Productos comprados de cada uno de los Licitantes ganadores.</w:t>
      </w:r>
    </w:p>
    <w:p w14:paraId="60CF5886" w14:textId="77777777" w:rsidR="00160338" w:rsidRPr="0065554C" w:rsidRDefault="00160338" w:rsidP="005E311D">
      <w:pPr>
        <w:pStyle w:val="Inciso"/>
      </w:pPr>
      <w:r w:rsidRPr="0065554C">
        <w:t>Los precios.</w:t>
      </w:r>
    </w:p>
    <w:p w14:paraId="0D83EBC4" w14:textId="77777777" w:rsidR="00160338" w:rsidRPr="0065554C" w:rsidRDefault="00160338" w:rsidP="005E311D">
      <w:pPr>
        <w:pStyle w:val="Inciso"/>
      </w:pPr>
      <w:r w:rsidRPr="0065554C">
        <w:t>La elección de usar indexación al Dólar o al Peso.</w:t>
      </w:r>
    </w:p>
    <w:p w14:paraId="18F884F0" w14:textId="77777777" w:rsidR="00160338" w:rsidRPr="0065554C" w:rsidRDefault="00160338" w:rsidP="005E311D">
      <w:pPr>
        <w:pStyle w:val="Numeral"/>
      </w:pPr>
      <w:r w:rsidRPr="0065554C">
        <w:t xml:space="preserve">El Fallo </w:t>
      </w:r>
      <w:r w:rsidR="00F57DC1" w:rsidRPr="0065554C">
        <w:t xml:space="preserve">de </w:t>
      </w:r>
      <w:r w:rsidRPr="0065554C">
        <w:t xml:space="preserve">la Subasta no confiere a los Licitantes que sean asignatarios de los Contratos resultantes, ni a las personas que suscriban esos Contratos, derechos preferenciales en el proceso de interconexión ni derechos de prelación, </w:t>
      </w:r>
      <w:r w:rsidR="00F57DC1" w:rsidRPr="0065554C">
        <w:t>y</w:t>
      </w:r>
      <w:r w:rsidRPr="0065554C">
        <w:t xml:space="preserve"> tampoco exime a los titulares de las Centrales Eléctricas asociadas a esos Contratos del cumplimiento del Código de Red y demás disposiciones jurídicas que resulten aplicables.</w:t>
      </w:r>
    </w:p>
    <w:p w14:paraId="1110B0A6" w14:textId="77777777" w:rsidR="00160338" w:rsidRPr="0065554C" w:rsidRDefault="00160338" w:rsidP="005E311D">
      <w:pPr>
        <w:pStyle w:val="Numeral"/>
      </w:pPr>
      <w:r w:rsidRPr="0065554C">
        <w:t xml:space="preserve">Cuando se advierta en el Fallo de la Subasta la existencia de un error aritmético, mecanográfico o de cualquier otra naturaleza, que no afecte el resultado de la evaluación, dentro de los cinco días hábiles siguientes a su notificación y siempre que no se hayan firmado los Contratos respectivos, el CENACE procederá a </w:t>
      </w:r>
      <w:r w:rsidR="004251F2" w:rsidRPr="0065554C">
        <w:t>la</w:t>
      </w:r>
      <w:r w:rsidRPr="0065554C">
        <w:t xml:space="preserve"> corrección, aclaración o rectificación del mismo, mediante el acta administrativa correspondiente, en la que se harán constar los motivos que originaron la enmienda y las razones que la sustentan. Este hecho se notificará a los Licitantes que hubieran participado en la Subasta, y se remitirá copia del acta al Órgano Interno de Control</w:t>
      </w:r>
      <w:r w:rsidR="004251F2" w:rsidRPr="0065554C">
        <w:t xml:space="preserve"> del CENACE</w:t>
      </w:r>
      <w:r w:rsidRPr="0065554C">
        <w:t xml:space="preserve"> dentro de los cinco días hábiles posteriores a la fecha de su firma.</w:t>
      </w:r>
    </w:p>
    <w:p w14:paraId="48559264" w14:textId="77777777" w:rsidR="00160338" w:rsidRPr="0065554C" w:rsidRDefault="00160338" w:rsidP="00361661">
      <w:pPr>
        <w:pStyle w:val="Captulo"/>
      </w:pPr>
      <w:bookmarkStart w:id="585" w:name="_Toc436487884"/>
      <w:bookmarkStart w:id="586" w:name="_Toc436433788"/>
      <w:bookmarkStart w:id="587" w:name="_Toc450052203"/>
      <w:bookmarkStart w:id="588" w:name="_Toc312964173"/>
      <w:bookmarkStart w:id="589" w:name="_Toc450201446"/>
      <w:bookmarkStart w:id="590" w:name="_Toc450638607"/>
      <w:r w:rsidRPr="0065554C">
        <w:lastRenderedPageBreak/>
        <w:br/>
      </w:r>
      <w:bookmarkStart w:id="591" w:name="_Toc479255750"/>
      <w:bookmarkStart w:id="592" w:name="_Toc454100267"/>
      <w:bookmarkStart w:id="593" w:name="_Toc479763799"/>
      <w:bookmarkStart w:id="594" w:name="_Toc509413038"/>
      <w:r w:rsidRPr="0065554C">
        <w:t>Asignación y suscripción de Contratos</w:t>
      </w:r>
      <w:bookmarkEnd w:id="591"/>
      <w:bookmarkEnd w:id="592"/>
      <w:bookmarkEnd w:id="593"/>
      <w:bookmarkEnd w:id="594"/>
    </w:p>
    <w:p w14:paraId="15DDE81D" w14:textId="77777777" w:rsidR="00160338" w:rsidRPr="0065554C" w:rsidRDefault="00160338" w:rsidP="00D42E95">
      <w:pPr>
        <w:pStyle w:val="Seccin"/>
        <w:numPr>
          <w:ilvl w:val="1"/>
          <w:numId w:val="23"/>
        </w:numPr>
      </w:pPr>
      <w:bookmarkStart w:id="595" w:name="_Toc479255751"/>
      <w:bookmarkStart w:id="596" w:name="_Toc479763800"/>
      <w:bookmarkStart w:id="597" w:name="_Toc509413039"/>
      <w:r w:rsidRPr="0065554C">
        <w:t>Asignación</w:t>
      </w:r>
      <w:bookmarkEnd w:id="585"/>
      <w:bookmarkEnd w:id="586"/>
      <w:bookmarkEnd w:id="587"/>
      <w:bookmarkEnd w:id="588"/>
      <w:bookmarkEnd w:id="589"/>
      <w:r w:rsidRPr="0065554C">
        <w:t xml:space="preserve"> de Contratos</w:t>
      </w:r>
      <w:bookmarkEnd w:id="590"/>
      <w:bookmarkEnd w:id="595"/>
      <w:bookmarkEnd w:id="596"/>
      <w:bookmarkEnd w:id="597"/>
    </w:p>
    <w:p w14:paraId="7D1E5595" w14:textId="77777777" w:rsidR="00D52535" w:rsidRPr="0065554C" w:rsidRDefault="00160338" w:rsidP="00D52535">
      <w:pPr>
        <w:pStyle w:val="Numeral"/>
        <w:tabs>
          <w:tab w:val="clear" w:pos="1844"/>
          <w:tab w:val="num" w:pos="1419"/>
        </w:tabs>
        <w:ind w:left="1419"/>
      </w:pPr>
      <w:r w:rsidRPr="0065554C">
        <w:t>Los Contratos que resulten de la o las Ofertas de Venta declaradas ganadoras se asignarán</w:t>
      </w:r>
      <w:r w:rsidR="00693DAB" w:rsidRPr="0065554C">
        <w:t xml:space="preserve"> a través del fallo</w:t>
      </w:r>
      <w:r w:rsidRPr="0065554C">
        <w:t xml:space="preserve"> a los Licitantes que hayan presentado tales Ofertas de Vent</w:t>
      </w:r>
      <w:r w:rsidR="00FA4900" w:rsidRPr="0065554C">
        <w:t>a</w:t>
      </w:r>
      <w:r w:rsidR="00D52535" w:rsidRPr="0065554C">
        <w:t>.</w:t>
      </w:r>
    </w:p>
    <w:p w14:paraId="0FC6260D" w14:textId="77777777" w:rsidR="00160338" w:rsidRPr="0065554C" w:rsidRDefault="00160338" w:rsidP="00A1003A">
      <w:pPr>
        <w:pStyle w:val="Numeral"/>
        <w:tabs>
          <w:tab w:val="clear" w:pos="1844"/>
          <w:tab w:val="num" w:pos="1419"/>
        </w:tabs>
        <w:ind w:left="1419"/>
      </w:pPr>
      <w:bookmarkStart w:id="598" w:name="_Toc450638608"/>
      <w:r w:rsidRPr="0065554C">
        <w:t>Los Contratos asignados en la Subastas serán suscritos por los Compradores Potenciales como Compradores y la Cámara de Compensación como Vendedor, y por los Licitantes o las Sociedades de Propósito Específico constituidas para ello por los Licitantes como Vendedores y la Cámara de Compensación como Comprador.</w:t>
      </w:r>
    </w:p>
    <w:p w14:paraId="3FAE6A02" w14:textId="77777777" w:rsidR="00160338" w:rsidRPr="0065554C" w:rsidRDefault="00160338" w:rsidP="00A1003A">
      <w:pPr>
        <w:pStyle w:val="Numeral"/>
        <w:tabs>
          <w:tab w:val="clear" w:pos="1844"/>
          <w:tab w:val="num" w:pos="1419"/>
        </w:tabs>
        <w:ind w:left="1419"/>
      </w:pPr>
      <w:r w:rsidRPr="0065554C">
        <w:t>Cuando sólo una Entidad Responsable de Carga participe en la Subasta, todas las cantidades seleccionadas como consecuencia de la Subasta serán asignadas a dicha entidad.</w:t>
      </w:r>
    </w:p>
    <w:p w14:paraId="2125ABCA" w14:textId="77777777" w:rsidR="00160338" w:rsidRPr="0065554C" w:rsidRDefault="00160338" w:rsidP="00A1003A">
      <w:pPr>
        <w:pStyle w:val="Numeral"/>
        <w:tabs>
          <w:tab w:val="clear" w:pos="1844"/>
          <w:tab w:val="num" w:pos="1419"/>
        </w:tabs>
        <w:ind w:left="1419"/>
      </w:pPr>
      <w:r w:rsidRPr="0065554C">
        <w:t>Cuando dos o más Entidades Responsables de Carga participen en la Subasta, la asignación de Contratos se realizará tomando en cuenta lo dispuesto en el numeral 3.4.4 del Manual de Subastas de Largo Plazo.</w:t>
      </w:r>
    </w:p>
    <w:p w14:paraId="3D3C2EC9" w14:textId="77777777" w:rsidR="00FB1622" w:rsidRPr="0065554C" w:rsidRDefault="00FB1622" w:rsidP="00FB1622">
      <w:pPr>
        <w:pStyle w:val="Seccin"/>
      </w:pPr>
      <w:bookmarkStart w:id="599" w:name="_Toc454100268"/>
      <w:bookmarkStart w:id="600" w:name="_Toc479255752"/>
      <w:bookmarkStart w:id="601" w:name="_Toc479763801"/>
      <w:bookmarkStart w:id="602" w:name="_Toc509413040"/>
      <w:r w:rsidRPr="0065554C">
        <w:t xml:space="preserve">Elaboración de </w:t>
      </w:r>
      <w:bookmarkEnd w:id="599"/>
      <w:r w:rsidRPr="0065554C">
        <w:t>Contratos</w:t>
      </w:r>
      <w:bookmarkEnd w:id="600"/>
      <w:bookmarkEnd w:id="601"/>
      <w:bookmarkEnd w:id="602"/>
    </w:p>
    <w:bookmarkEnd w:id="598"/>
    <w:p w14:paraId="48DBBD05" w14:textId="77777777" w:rsidR="00160338" w:rsidRPr="0065554C" w:rsidRDefault="00160338" w:rsidP="005E311D">
      <w:pPr>
        <w:pStyle w:val="Numeral"/>
      </w:pPr>
      <w:r w:rsidRPr="0065554C">
        <w:t>Los Contratos asignados a través de la Subasta serán elaborados por el CENACE utilizando</w:t>
      </w:r>
      <w:r w:rsidR="00851F14" w:rsidRPr="0065554C">
        <w:t>:</w:t>
      </w:r>
      <w:r w:rsidRPr="0065554C">
        <w:t xml:space="preserve"> los modelos de Contrato que se acompañan a las Bases de Licitación como </w:t>
      </w:r>
      <w:r w:rsidRPr="0065554C">
        <w:rPr>
          <w:b/>
        </w:rPr>
        <w:t>Anexo VII</w:t>
      </w:r>
      <w:r w:rsidR="00572DEF" w:rsidRPr="0065554C">
        <w:rPr>
          <w:b/>
        </w:rPr>
        <w:t>I</w:t>
      </w:r>
      <w:r w:rsidRPr="0065554C">
        <w:rPr>
          <w:b/>
        </w:rPr>
        <w:t>.1</w:t>
      </w:r>
      <w:r w:rsidR="00AE675E" w:rsidRPr="0065554C">
        <w:rPr>
          <w:b/>
        </w:rPr>
        <w:t xml:space="preserve"> Sección A y Anexo VIII.1 Sección B</w:t>
      </w:r>
      <w:r w:rsidRPr="0065554C">
        <w:t>, la información del Fallo de la Subasta, el contenido de las Ofertas de Compra Aceptadas y el contenido de las Ofertas de Venta ganadoras, y observando las disposiciones aplicables del Manual de Subastas de Largo Plazo, la Guía Operativa de la Cámara de Compensación y las Bases de Licitación.</w:t>
      </w:r>
    </w:p>
    <w:p w14:paraId="30EF4727" w14:textId="77777777" w:rsidR="00160338" w:rsidRPr="0065554C" w:rsidRDefault="00160338" w:rsidP="005E311D">
      <w:pPr>
        <w:pStyle w:val="Numeral"/>
      </w:pPr>
      <w:r w:rsidRPr="0065554C">
        <w:t>Los Contratos asignados no serán objeto de negociación.</w:t>
      </w:r>
    </w:p>
    <w:p w14:paraId="668970F1" w14:textId="77777777" w:rsidR="00686BBE" w:rsidRPr="0065554C" w:rsidRDefault="00B9655A" w:rsidP="00686BBE">
      <w:pPr>
        <w:pStyle w:val="Numeral"/>
        <w:numPr>
          <w:ilvl w:val="0"/>
          <w:numId w:val="0"/>
        </w:numPr>
        <w:ind w:left="1844"/>
      </w:pPr>
      <w:r w:rsidRPr="0065554C">
        <w:t xml:space="preserve">El CENACE después </w:t>
      </w:r>
      <w:r w:rsidR="00686BBE" w:rsidRPr="0065554C">
        <w:t xml:space="preserve">de veinte días hábiles </w:t>
      </w:r>
      <w:r w:rsidRPr="0065554C">
        <w:t>contados a partir del día hábil siguiente a la fecha límite</w:t>
      </w:r>
      <w:r w:rsidR="00686BBE" w:rsidRPr="0065554C">
        <w:t xml:space="preserve"> establecida en el Calendario de la Subasta</w:t>
      </w:r>
      <w:r w:rsidRPr="0065554C">
        <w:t xml:space="preserve"> para la constitución de la Sociedad de Propósito Específico</w:t>
      </w:r>
      <w:r w:rsidR="002715CB" w:rsidRPr="0065554C">
        <w:t>,</w:t>
      </w:r>
      <w:r w:rsidR="00B2069F" w:rsidRPr="0065554C">
        <w:t xml:space="preserve"> podrá solicitar</w:t>
      </w:r>
      <w:r w:rsidR="00555A97" w:rsidRPr="0065554C">
        <w:t xml:space="preserve"> </w:t>
      </w:r>
      <w:r w:rsidR="00686BBE" w:rsidRPr="0065554C">
        <w:t xml:space="preserve">tanto a los Licitantes como a los Compradores Potenciales </w:t>
      </w:r>
      <w:r w:rsidR="00555A97" w:rsidRPr="0065554C">
        <w:t>toda</w:t>
      </w:r>
      <w:r w:rsidR="00B2069F" w:rsidRPr="0065554C">
        <w:t xml:space="preserve"> la documentación e información necesaria para la elaboración de los Contratos de la o las Ofertas de Venta declaradas ganadoras. </w:t>
      </w:r>
      <w:r w:rsidRPr="0065554C">
        <w:t xml:space="preserve"> </w:t>
      </w:r>
    </w:p>
    <w:p w14:paraId="41BEBC38" w14:textId="741F6CD9" w:rsidR="00686BBE" w:rsidRPr="0065554C" w:rsidRDefault="00686BBE" w:rsidP="00686BBE">
      <w:pPr>
        <w:pStyle w:val="Numeral"/>
        <w:numPr>
          <w:ilvl w:val="0"/>
          <w:numId w:val="0"/>
        </w:numPr>
        <w:ind w:left="1844"/>
      </w:pPr>
      <w:r w:rsidRPr="0065554C">
        <w:t>Los Licitantes y Compradores Potenciales deberán firmar, causar que se firmen o realizar todos los actos jurídicos que sean necesarios para la elaboración del Contrato en un plazo de treinta días hábiles contados a partir de la notificación del Fallo</w:t>
      </w:r>
      <w:r w:rsidR="008D7D29">
        <w:t>, conforme a lo previsto en el numeral 5.6.3 (a) (v) (B) del Manual de Subastas de Largo Plazo.</w:t>
      </w:r>
    </w:p>
    <w:p w14:paraId="4D47950C" w14:textId="77777777" w:rsidR="00686BBE" w:rsidRPr="0065554C" w:rsidRDefault="00686BBE" w:rsidP="00686BBE">
      <w:pPr>
        <w:pStyle w:val="Numeral"/>
        <w:numPr>
          <w:ilvl w:val="0"/>
          <w:numId w:val="0"/>
        </w:numPr>
        <w:ind w:left="1844" w:hanging="851"/>
      </w:pPr>
      <w:r w:rsidRPr="0065554C">
        <w:lastRenderedPageBreak/>
        <w:tab/>
        <w:t xml:space="preserve">En caso de actualizarse el supuesto establecido en el segundo párrafo del numeral 3.5.13, deberá informarse al CENACE mediante escrito libre.  </w:t>
      </w:r>
    </w:p>
    <w:p w14:paraId="4E2DCBFE" w14:textId="77777777" w:rsidR="00452D48" w:rsidRPr="0065554C" w:rsidRDefault="00452D48" w:rsidP="00B93D77">
      <w:pPr>
        <w:pStyle w:val="Numeral"/>
        <w:numPr>
          <w:ilvl w:val="0"/>
          <w:numId w:val="0"/>
        </w:numPr>
        <w:ind w:left="1844" w:hanging="851"/>
      </w:pPr>
    </w:p>
    <w:p w14:paraId="4DF7B8EC" w14:textId="77777777" w:rsidR="00160338" w:rsidRPr="0065554C" w:rsidRDefault="00160338" w:rsidP="00160338">
      <w:pPr>
        <w:pStyle w:val="Seccin"/>
      </w:pPr>
      <w:bookmarkStart w:id="603" w:name="_Toc436487887"/>
      <w:bookmarkStart w:id="604" w:name="_Toc436433791"/>
      <w:bookmarkStart w:id="605" w:name="_Toc450638609"/>
      <w:bookmarkStart w:id="606" w:name="_Toc479255753"/>
      <w:bookmarkStart w:id="607" w:name="_Toc454100269"/>
      <w:bookmarkStart w:id="608" w:name="_Toc479763803"/>
      <w:bookmarkStart w:id="609" w:name="_Toc509413041"/>
      <w:r w:rsidRPr="0065554C">
        <w:t>Garantía de Cumplimiento</w:t>
      </w:r>
      <w:bookmarkEnd w:id="603"/>
      <w:bookmarkEnd w:id="604"/>
      <w:bookmarkEnd w:id="605"/>
      <w:r w:rsidRPr="0065554C">
        <w:t xml:space="preserve"> del Contrato</w:t>
      </w:r>
      <w:bookmarkEnd w:id="606"/>
      <w:bookmarkEnd w:id="607"/>
      <w:bookmarkEnd w:id="608"/>
      <w:bookmarkEnd w:id="609"/>
    </w:p>
    <w:p w14:paraId="337E13EC" w14:textId="77777777" w:rsidR="00160338" w:rsidRPr="0065554C" w:rsidRDefault="00160338" w:rsidP="005E311D">
      <w:pPr>
        <w:pStyle w:val="Numeral"/>
      </w:pPr>
      <w:r w:rsidRPr="0065554C">
        <w:t>Para garantizar el cumplimiento de los Contratos, las partes deberán otorgar las Garantías de Cumplimiento correspondientes conforme a lo siguiente:</w:t>
      </w:r>
    </w:p>
    <w:p w14:paraId="06CF0494" w14:textId="77777777" w:rsidR="00160338" w:rsidRPr="0065554C" w:rsidRDefault="00160338" w:rsidP="005E311D">
      <w:pPr>
        <w:pStyle w:val="Inciso"/>
      </w:pPr>
      <w:r w:rsidRPr="0065554C">
        <w:t xml:space="preserve">La Garantía de Cumplimiento del Contrato a cargo del Comprador deberá ser otorgada de conformidad con lo previsto en la numeral 4.12 del Manual de Subastas de Largo Plazo </w:t>
      </w:r>
      <w:r w:rsidR="00F90942" w:rsidRPr="0065554C">
        <w:t>y lo previsto en</w:t>
      </w:r>
      <w:r w:rsidR="009B6133" w:rsidRPr="0065554C">
        <w:t xml:space="preserve"> los numerales 4.1, 4.2, 4.3 y 4.6 de</w:t>
      </w:r>
      <w:r w:rsidRPr="0065554C">
        <w:t xml:space="preserve"> la Guía Operativa, así como en el propio Contrato; y, </w:t>
      </w:r>
    </w:p>
    <w:p w14:paraId="4EEF4BF3" w14:textId="77777777" w:rsidR="0096028B" w:rsidRPr="0065554C" w:rsidRDefault="00160338" w:rsidP="00FA4900">
      <w:pPr>
        <w:pStyle w:val="Inciso"/>
      </w:pPr>
      <w:r w:rsidRPr="0065554C">
        <w:t xml:space="preserve">La Garantía de Cumplimiento del Contrato a cargo del Vendedor deberá ser otorgada de conformidad con lo previsto en la numeral 4.8 del Manual de Subastas de Largo Plazo y </w:t>
      </w:r>
      <w:r w:rsidR="009B6133" w:rsidRPr="0065554C">
        <w:t>el numeral 2.5.1 de</w:t>
      </w:r>
      <w:r w:rsidR="00F90942" w:rsidRPr="0065554C">
        <w:t xml:space="preserve"> </w:t>
      </w:r>
      <w:r w:rsidRPr="0065554C">
        <w:t>la Guía Operativa, así como en el propio Contrato.</w:t>
      </w:r>
    </w:p>
    <w:p w14:paraId="4D418D3B" w14:textId="77777777" w:rsidR="00EB3B49" w:rsidRPr="0065554C" w:rsidRDefault="0096028B" w:rsidP="00F73877">
      <w:pPr>
        <w:pStyle w:val="Inciso"/>
      </w:pPr>
      <w:r w:rsidRPr="0065554C">
        <w:t>La Garantía de Cumplimiento del Contrato a cargo del Vendedor podrá ser presentada en Pesos, o bien, ser presentada en Dólares cuando las Ofertas de Venta que hayan sido seleccionadas en las Subasta</w:t>
      </w:r>
      <w:r w:rsidR="00FA4900" w:rsidRPr="0065554C">
        <w:t xml:space="preserve"> de Largo Plazo </w:t>
      </w:r>
      <w:r w:rsidR="002715CB" w:rsidRPr="0065554C">
        <w:t>SLP-1/</w:t>
      </w:r>
      <w:r w:rsidR="00FA4900" w:rsidRPr="0065554C">
        <w:t>2018</w:t>
      </w:r>
      <w:r w:rsidRPr="0065554C">
        <w:t xml:space="preserve"> hayan sido indexadas al Dólar, en cuyo caso para determinar su valor en Pesos se utilizará el tipo de cambio publicado por el Banco de México en el Diario Oficial de la Federación cinco días hábiles antes de la presentación del instrumento</w:t>
      </w:r>
      <w:r w:rsidR="002715CB" w:rsidRPr="0065554C">
        <w:t>,</w:t>
      </w:r>
      <w:r w:rsidRPr="0065554C">
        <w:t xml:space="preserve"> de conformidad con lo previsto en el numeral 4.8 del Manual de Subastas de Largo Plazo, así como en el propio </w:t>
      </w:r>
      <w:r w:rsidR="002715CB" w:rsidRPr="0065554C">
        <w:t>C</w:t>
      </w:r>
      <w:r w:rsidRPr="0065554C">
        <w:t>ontrato.</w:t>
      </w:r>
    </w:p>
    <w:p w14:paraId="66D3F61C" w14:textId="77777777" w:rsidR="00160338" w:rsidRPr="0065554C" w:rsidRDefault="00160338" w:rsidP="005E311D">
      <w:pPr>
        <w:pStyle w:val="Numeral"/>
      </w:pPr>
      <w:r w:rsidRPr="0065554C">
        <w:t>Al momento de suscribir el Contrato correspondiente, el Vendedor deberá entregar a la Cámara de Compensación la Garantía de Cumplimiento del Contrato a cargo del Vendedor, en el mismo lugar donde</w:t>
      </w:r>
      <w:r w:rsidR="00D27B3D" w:rsidRPr="0065554C">
        <w:t xml:space="preserve"> se</w:t>
      </w:r>
      <w:r w:rsidRPr="0065554C">
        <w:t xml:space="preserve"> lleve a cabo la suscripción del Contrato, para que su Garantía de Seriedad pueda ser cancelada totalmente, de conformidad con lo previsto en los numerales 5.5.11 a 5.5.14.</w:t>
      </w:r>
    </w:p>
    <w:p w14:paraId="6C957CAA" w14:textId="77777777" w:rsidR="00160338" w:rsidRPr="0065554C" w:rsidRDefault="00160338" w:rsidP="005E311D">
      <w:pPr>
        <w:pStyle w:val="Numeral"/>
      </w:pPr>
      <w:r w:rsidRPr="0065554C">
        <w:t>Al momento de suscribir el Contrato correspondiente, el Comprador deberá entregar a la Cámara de Compensación la Garantía de Cumplimiento del Contrato a cargo del Comprador, para que su Garantía de Seriedad pueda ser cancelada total o parcialmente, de conformidad con lo previsto en los numerales 4.</w:t>
      </w:r>
      <w:r w:rsidR="00D27B3D" w:rsidRPr="0065554C">
        <w:t>5.5</w:t>
      </w:r>
      <w:r w:rsidRPr="0065554C">
        <w:t xml:space="preserve"> a 4.</w:t>
      </w:r>
      <w:r w:rsidR="00D27B3D" w:rsidRPr="0065554C">
        <w:t>5</w:t>
      </w:r>
      <w:r w:rsidRPr="0065554C">
        <w:t>.1</w:t>
      </w:r>
      <w:r w:rsidR="00D27B3D" w:rsidRPr="0065554C">
        <w:t>3</w:t>
      </w:r>
      <w:r w:rsidRPr="0065554C">
        <w:t xml:space="preserve"> de las Bases de Licitación.</w:t>
      </w:r>
    </w:p>
    <w:p w14:paraId="3DDC868F" w14:textId="77777777" w:rsidR="00160338" w:rsidRPr="0065554C" w:rsidRDefault="00EF0B35" w:rsidP="005E311D">
      <w:pPr>
        <w:pStyle w:val="Numeral"/>
      </w:pPr>
      <w:r w:rsidRPr="0065554C">
        <w:t xml:space="preserve">Conforme a lo descrito en </w:t>
      </w:r>
      <w:r w:rsidR="009B6133" w:rsidRPr="0065554C">
        <w:t>los numerales 4.3.2 y 4.3.3 de la</w:t>
      </w:r>
      <w:r w:rsidRPr="0065554C">
        <w:t xml:space="preserve"> Guía Operativa, l</w:t>
      </w:r>
      <w:r w:rsidR="00160338" w:rsidRPr="0065554C">
        <w:t>a Cámara de Compensación validará y administrará las Garantías de Cumplimiento.</w:t>
      </w:r>
    </w:p>
    <w:p w14:paraId="5022FF14" w14:textId="77777777" w:rsidR="00D87A2E" w:rsidRPr="0065554C" w:rsidRDefault="00D87A2E" w:rsidP="00D87A2E">
      <w:pPr>
        <w:pStyle w:val="Numeral"/>
      </w:pPr>
      <w:r w:rsidRPr="0065554C">
        <w:t xml:space="preserve">Los Compradores y Vendedores podrán presentar a la Cámara de Compensación el borrador de la Garantía de Cumplimiento hasta cinco días hábiles previos a la fecha límite para su entrega, con la finalidad de que la Cámara de Compensación revise el contenido de la misma y verifique que cumple con los requisitos necesarios de manera que, de ser necesario, tanto los Compradores como los Vendedores tengan la oportunidad de ajustar dicho contenido. La Cámara de Compensación contará con un plazo de hasta tres días hábiles para revisar el </w:t>
      </w:r>
      <w:r w:rsidRPr="0065554C">
        <w:lastRenderedPageBreak/>
        <w:t>borrador de la Garantía de Cumplimiento y notificar la parte correspondiente lo conducente; este plazo es independiente del tiempo que requieran los Compradores y los Vendedores para llevar a cabo las modificaciones que correspondan.</w:t>
      </w:r>
    </w:p>
    <w:p w14:paraId="69A08804" w14:textId="77777777" w:rsidR="00D87A2E" w:rsidRPr="0065554C" w:rsidRDefault="00D87A2E" w:rsidP="00D87A2E">
      <w:pPr>
        <w:pStyle w:val="Numeral"/>
        <w:numPr>
          <w:ilvl w:val="0"/>
          <w:numId w:val="0"/>
        </w:numPr>
        <w:ind w:left="1419"/>
      </w:pPr>
    </w:p>
    <w:p w14:paraId="4E8EF4EB" w14:textId="77777777" w:rsidR="00160338" w:rsidRPr="0065554C" w:rsidRDefault="00160338" w:rsidP="00160338">
      <w:pPr>
        <w:pStyle w:val="Seccin"/>
      </w:pPr>
      <w:bookmarkStart w:id="610" w:name="_Toc454100270"/>
      <w:bookmarkStart w:id="611" w:name="_Toc436487888"/>
      <w:bookmarkStart w:id="612" w:name="_Toc436433792"/>
      <w:bookmarkStart w:id="613" w:name="_Toc450638610"/>
      <w:bookmarkStart w:id="614" w:name="_Toc479255754"/>
      <w:bookmarkStart w:id="615" w:name="_Toc479763804"/>
      <w:bookmarkStart w:id="616" w:name="_Toc509413042"/>
      <w:r w:rsidRPr="0065554C">
        <w:t xml:space="preserve">Cotejo de documentación y suscripción </w:t>
      </w:r>
      <w:bookmarkEnd w:id="610"/>
      <w:r w:rsidRPr="0065554C">
        <w:t>de los Contrato</w:t>
      </w:r>
      <w:bookmarkEnd w:id="611"/>
      <w:bookmarkEnd w:id="612"/>
      <w:bookmarkEnd w:id="613"/>
      <w:r w:rsidRPr="0065554C">
        <w:t>s</w:t>
      </w:r>
      <w:bookmarkEnd w:id="614"/>
      <w:bookmarkEnd w:id="615"/>
      <w:bookmarkEnd w:id="616"/>
    </w:p>
    <w:p w14:paraId="5D56B1B0" w14:textId="77777777" w:rsidR="00160338" w:rsidRPr="0065554C" w:rsidRDefault="00160338" w:rsidP="005E311D">
      <w:pPr>
        <w:pStyle w:val="Numeral"/>
      </w:pPr>
      <w:r w:rsidRPr="0065554C">
        <w:t xml:space="preserve">Los Contratos asignados se suscribirán entre los Vendedores y la Cámara de Compensación y entre los Compradores y la Cámara de Compensación, a más tardar el día señalado en el </w:t>
      </w:r>
      <w:r w:rsidR="00FB7DC5" w:rsidRPr="0065554C">
        <w:t>c</w:t>
      </w:r>
      <w:r w:rsidRPr="0065554C">
        <w:t xml:space="preserve">alendario de la </w:t>
      </w:r>
      <w:r w:rsidR="00FB7DC5" w:rsidRPr="0065554C">
        <w:t>s</w:t>
      </w:r>
      <w:r w:rsidRPr="0065554C">
        <w:t>ubasta y en el domicilio ubicado en Boulevard Adolfo López Mateos No. 2157, piso 11, Colonia Los Alpes, Delegación Álvaro Obregón, C.P. 01010, Ciudad de México, en un horario de 9:00 a 18:00 horas de lunes a viernes (previa cita).</w:t>
      </w:r>
    </w:p>
    <w:p w14:paraId="61EB905E" w14:textId="77777777" w:rsidR="00160338" w:rsidRPr="0065554C" w:rsidRDefault="00160338" w:rsidP="005E311D">
      <w:pPr>
        <w:pStyle w:val="Numeral"/>
      </w:pPr>
      <w:r w:rsidRPr="0065554C">
        <w:t xml:space="preserve">El Licitante que resulte asignatario de un Contrato quedará obligado a suscribirlo con el carácter de Vendedor, ya sea directamente o a través de la Sociedad de Propósito Específico correspondiente, en términos de lo previsto en su Oferta de Venta ganadora, y a otorgar la Garantía de Cumplimiento a que se refiere el numeral </w:t>
      </w:r>
      <w:r w:rsidR="00E24BBC" w:rsidRPr="0065554C">
        <w:t>8.3</w:t>
      </w:r>
      <w:r w:rsidRPr="0065554C">
        <w:t xml:space="preserve"> de las Bases de Licitación cuatro días hábiles antes de la cita mencionada en el numeral </w:t>
      </w:r>
      <w:r w:rsidR="00E24BBC" w:rsidRPr="0065554C">
        <w:t>8.4.1</w:t>
      </w:r>
      <w:r w:rsidRPr="0065554C">
        <w:t xml:space="preserve"> de las Bases de Licitación, en la que se llevará a cabo la suscripción del Contrato.</w:t>
      </w:r>
    </w:p>
    <w:p w14:paraId="250E416A" w14:textId="77777777" w:rsidR="00160338" w:rsidRPr="0065554C" w:rsidRDefault="00160338" w:rsidP="005E311D">
      <w:pPr>
        <w:pStyle w:val="Numeral"/>
      </w:pPr>
      <w:r w:rsidRPr="0065554C">
        <w:t xml:space="preserve">El Comprador Potencial quedará obligado a suscribir los Contratos que sean asignados en la Subasta con el carácter de Comprador en los términos señalados en el numeral </w:t>
      </w:r>
      <w:r w:rsidR="00E24BBC" w:rsidRPr="0065554C">
        <w:t>8.4.1</w:t>
      </w:r>
      <w:r w:rsidRPr="0065554C">
        <w:t xml:space="preserve"> de las Bases de Licitación y dentro del plazo previsto para ello en el Calendario de la Subasta. L</w:t>
      </w:r>
      <w:r w:rsidR="00B47852" w:rsidRPr="0065554C">
        <w:t>os instrumentos distintos a los depósitos en garantía que integr</w:t>
      </w:r>
      <w:r w:rsidRPr="0065554C">
        <w:t>a</w:t>
      </w:r>
      <w:r w:rsidR="00B47852" w:rsidRPr="0065554C">
        <w:t>n la</w:t>
      </w:r>
      <w:r w:rsidRPr="0065554C">
        <w:t xml:space="preserve"> Garantía de Cumplimiento correspondiente</w:t>
      </w:r>
      <w:r w:rsidR="009B6133" w:rsidRPr="0065554C">
        <w:t xml:space="preserve"> y que acrediten </w:t>
      </w:r>
      <w:r w:rsidR="00B47852" w:rsidRPr="0065554C">
        <w:t xml:space="preserve">la </w:t>
      </w:r>
      <w:r w:rsidR="009B6133" w:rsidRPr="0065554C">
        <w:t>parte de la Contribución al Fondo de Reserva deberán ser entregadas</w:t>
      </w:r>
      <w:r w:rsidRPr="0065554C">
        <w:t xml:space="preserve"> en Boulevard Adolfo López Mateos No. 2157, piso 11, Colonia. Los Alpes, Delegación Álvaro Obregón, C.P. 01010, Ciudad de México, en los términos previstos en el propio Contrato de acuerdo </w:t>
      </w:r>
      <w:r w:rsidR="00852567" w:rsidRPr="0065554C">
        <w:t>con las</w:t>
      </w:r>
      <w:r w:rsidR="00921E06" w:rsidRPr="0065554C">
        <w:t xml:space="preserve"> Bases del Mercado Eléctrico,</w:t>
      </w:r>
      <w:r w:rsidRPr="0065554C">
        <w:t xml:space="preserve"> el Manual de Subastas de Largo Plazo y l</w:t>
      </w:r>
      <w:r w:rsidR="00921E06" w:rsidRPr="0065554C">
        <w:t>a Guía Operativa de la Cámara de Compensación</w:t>
      </w:r>
    </w:p>
    <w:p w14:paraId="2EF03C20" w14:textId="77777777" w:rsidR="00160338" w:rsidRPr="0065554C" w:rsidRDefault="00160338" w:rsidP="005E311D">
      <w:pPr>
        <w:pStyle w:val="Numeral"/>
      </w:pPr>
      <w:r w:rsidRPr="0065554C">
        <w:t>Previo al acto de suscripción del Contrato, el CENACE procederá a realizar un cotejo de documentos, para lo cual las partes deberán presentarse con los documentos originales que respalden toda la información proporcionada durante el desarrollo de la Subasta</w:t>
      </w:r>
      <w:r w:rsidR="00402F50" w:rsidRPr="0065554C">
        <w:t>, la cual podrá ser solicitada por el CENACE</w:t>
      </w:r>
      <w:r w:rsidR="00DA1D19" w:rsidRPr="0065554C">
        <w:t xml:space="preserve"> </w:t>
      </w:r>
      <w:r w:rsidR="00D52535" w:rsidRPr="0065554C">
        <w:t xml:space="preserve">a partir del décimo día hábil después emitido el Fallo. </w:t>
      </w:r>
      <w:r w:rsidR="00DA1D19" w:rsidRPr="0065554C">
        <w:t>l</w:t>
      </w:r>
      <w:r w:rsidR="00D52535" w:rsidRPr="0065554C">
        <w:t>a documentación presentada para el cotejo deberá coincidir cabalmente con los presentados en el Sitio, sin que puedan variar de forma alguna</w:t>
      </w:r>
      <w:r w:rsidRPr="0065554C">
        <w:t>.</w:t>
      </w:r>
    </w:p>
    <w:p w14:paraId="513F6F71" w14:textId="48BE63D0" w:rsidR="00160338" w:rsidRPr="0065554C" w:rsidRDefault="00160338" w:rsidP="005E311D">
      <w:pPr>
        <w:pStyle w:val="Numeral"/>
      </w:pPr>
      <w:r w:rsidRPr="0065554C">
        <w:t>El Licitante que resulte ganador con un proyecto legado y con solicitud de interconexión en proceso, deberá terminar los estudios correspondientes de conformidad con la normatividad aplicable. En caso de contar con un contrato de interconexión al amparo de la Ley del Servicio Público de Energía Eléctrica, el Licitante deberá realizar las gestiones necesarias para que dicho contrato de interconexión se modifique de conformidad con lo establecido en la Ley de la Industria Eléctrica y la normatividad aplicable</w:t>
      </w:r>
      <w:r w:rsidR="00316535">
        <w:t xml:space="preserve">, </w:t>
      </w:r>
      <w:r w:rsidR="005816AC">
        <w:t xml:space="preserve">y en particular, </w:t>
      </w:r>
      <w:r w:rsidR="00316535">
        <w:t>deberá considerar las disposiciones</w:t>
      </w:r>
      <w:r w:rsidR="008B488E">
        <w:t xml:space="preserve"> aplicables para dar cumplimiento al artículo </w:t>
      </w:r>
      <w:r w:rsidR="005816AC">
        <w:t>D</w:t>
      </w:r>
      <w:r w:rsidR="008B488E">
        <w:t xml:space="preserve">écimo </w:t>
      </w:r>
      <w:r w:rsidR="005816AC">
        <w:t>T</w:t>
      </w:r>
      <w:r w:rsidR="008B488E">
        <w:t xml:space="preserve">ercero </w:t>
      </w:r>
      <w:r w:rsidR="005816AC">
        <w:t>T</w:t>
      </w:r>
      <w:r w:rsidR="008B488E">
        <w:t xml:space="preserve">ransitorio de la </w:t>
      </w:r>
      <w:r w:rsidR="005816AC">
        <w:t>L</w:t>
      </w:r>
      <w:r w:rsidR="008B488E">
        <w:t xml:space="preserve">ey de la </w:t>
      </w:r>
      <w:r w:rsidR="005816AC">
        <w:t>I</w:t>
      </w:r>
      <w:r w:rsidR="008B488E">
        <w:t xml:space="preserve">ndustria </w:t>
      </w:r>
      <w:r w:rsidR="005816AC">
        <w:t>E</w:t>
      </w:r>
      <w:r w:rsidR="008B488E">
        <w:t>léctrica.</w:t>
      </w:r>
      <w:r w:rsidRPr="0065554C">
        <w:t xml:space="preserve"> </w:t>
      </w:r>
    </w:p>
    <w:p w14:paraId="09A31766" w14:textId="77777777" w:rsidR="00160338" w:rsidRPr="0065554C" w:rsidRDefault="00160338" w:rsidP="005E311D">
      <w:pPr>
        <w:pStyle w:val="Numeral"/>
      </w:pPr>
      <w:r w:rsidRPr="0065554C">
        <w:lastRenderedPageBreak/>
        <w:t xml:space="preserve">En caso de que el Licitante incumpla lo previsto en los numerales anteriores, el CENACE solicitará la ejecución de la Garantía de Seriedad en un plazo máximo de tres días hábiles contados a partir de la fecha de incumplimiento, y una vez ejecutada entregará los fondos </w:t>
      </w:r>
      <w:r w:rsidR="00F57DC1" w:rsidRPr="0065554C">
        <w:t>a</w:t>
      </w:r>
      <w:r w:rsidRPr="0065554C">
        <w:t xml:space="preserve"> la Cámara de Compensación.</w:t>
      </w:r>
    </w:p>
    <w:p w14:paraId="50C55342" w14:textId="77777777" w:rsidR="00160338" w:rsidRPr="0065554C" w:rsidRDefault="00160338" w:rsidP="005E311D">
      <w:pPr>
        <w:pStyle w:val="Numeral"/>
      </w:pPr>
      <w:r w:rsidRPr="0065554C">
        <w:t xml:space="preserve">Si el Comprador Potencial incurre en incumplimiento en términos del numeral </w:t>
      </w:r>
      <w:r w:rsidR="00E24BBC" w:rsidRPr="0065554C">
        <w:t>8.4.4</w:t>
      </w:r>
      <w:r w:rsidRPr="0065554C">
        <w:t xml:space="preserve"> de las Bases de Licitación, será sancionado en términos de la Ley de la Industria Eléctrica.</w:t>
      </w:r>
      <w:bookmarkStart w:id="617" w:name="_Toc435898988"/>
      <w:bookmarkStart w:id="618" w:name="_Toc435899059"/>
      <w:bookmarkStart w:id="619" w:name="_Toc435899130"/>
      <w:bookmarkStart w:id="620" w:name="_Toc435900747"/>
      <w:bookmarkStart w:id="621" w:name="_Toc436199713"/>
      <w:bookmarkStart w:id="622" w:name="_Toc436201445"/>
      <w:bookmarkStart w:id="623" w:name="_Toc436201517"/>
      <w:bookmarkStart w:id="624" w:name="_Toc436207555"/>
      <w:bookmarkStart w:id="625" w:name="_Toc436209166"/>
      <w:bookmarkStart w:id="626" w:name="_Toc436223667"/>
      <w:bookmarkStart w:id="627" w:name="_Toc436230386"/>
      <w:bookmarkStart w:id="628" w:name="_Toc436230458"/>
      <w:bookmarkStart w:id="629" w:name="_Toc436237539"/>
      <w:bookmarkStart w:id="630" w:name="_Toc436237614"/>
      <w:bookmarkStart w:id="631" w:name="_Toc436237687"/>
      <w:bookmarkStart w:id="632" w:name="_Toc436257509"/>
      <w:bookmarkStart w:id="633" w:name="_Toc436257575"/>
      <w:bookmarkStart w:id="634" w:name="_Toc436264524"/>
      <w:bookmarkStart w:id="635" w:name="_Toc436290603"/>
      <w:bookmarkStart w:id="636" w:name="_Toc436290668"/>
      <w:bookmarkStart w:id="637" w:name="_Toc436291005"/>
      <w:bookmarkStart w:id="638" w:name="_Toc436291186"/>
      <w:bookmarkStart w:id="639" w:name="_Toc436291249"/>
      <w:bookmarkStart w:id="640" w:name="_Toc435898989"/>
      <w:bookmarkStart w:id="641" w:name="_Toc435899060"/>
      <w:bookmarkStart w:id="642" w:name="_Toc435899131"/>
      <w:bookmarkStart w:id="643" w:name="_Toc435900748"/>
      <w:bookmarkStart w:id="644" w:name="_Toc436199714"/>
      <w:bookmarkStart w:id="645" w:name="_Toc436201446"/>
      <w:bookmarkStart w:id="646" w:name="_Toc436201518"/>
      <w:bookmarkStart w:id="647" w:name="_Toc436207556"/>
      <w:bookmarkStart w:id="648" w:name="_Toc436209167"/>
      <w:bookmarkStart w:id="649" w:name="_Toc436223668"/>
      <w:bookmarkStart w:id="650" w:name="_Toc436230387"/>
      <w:bookmarkStart w:id="651" w:name="_Toc436230459"/>
      <w:bookmarkStart w:id="652" w:name="_Toc436237540"/>
      <w:bookmarkStart w:id="653" w:name="_Toc436237615"/>
      <w:bookmarkStart w:id="654" w:name="_Toc436237688"/>
      <w:bookmarkStart w:id="655" w:name="_Toc436257510"/>
      <w:bookmarkStart w:id="656" w:name="_Toc436257576"/>
      <w:bookmarkStart w:id="657" w:name="_Toc436264525"/>
      <w:bookmarkStart w:id="658" w:name="_Toc436290604"/>
      <w:bookmarkStart w:id="659" w:name="_Toc436290669"/>
      <w:bookmarkStart w:id="660" w:name="_Toc436291006"/>
      <w:bookmarkStart w:id="661" w:name="_Toc436291187"/>
      <w:bookmarkStart w:id="662" w:name="_Toc436291250"/>
      <w:bookmarkStart w:id="663" w:name="_Toc435898990"/>
      <w:bookmarkStart w:id="664" w:name="_Toc435899061"/>
      <w:bookmarkStart w:id="665" w:name="_Toc435899132"/>
      <w:bookmarkStart w:id="666" w:name="_Toc435900749"/>
      <w:bookmarkStart w:id="667" w:name="_Toc436199715"/>
      <w:bookmarkStart w:id="668" w:name="_Toc436201447"/>
      <w:bookmarkStart w:id="669" w:name="_Toc436201519"/>
      <w:bookmarkStart w:id="670" w:name="_Toc436207557"/>
      <w:bookmarkStart w:id="671" w:name="_Toc436209168"/>
      <w:bookmarkStart w:id="672" w:name="_Toc436223669"/>
      <w:bookmarkStart w:id="673" w:name="_Toc436230388"/>
      <w:bookmarkStart w:id="674" w:name="_Toc436230460"/>
      <w:bookmarkStart w:id="675" w:name="_Toc436237541"/>
      <w:bookmarkStart w:id="676" w:name="_Toc436237616"/>
      <w:bookmarkStart w:id="677" w:name="_Toc436237689"/>
      <w:bookmarkStart w:id="678" w:name="_Toc436257511"/>
      <w:bookmarkStart w:id="679" w:name="_Toc436257577"/>
      <w:bookmarkStart w:id="680" w:name="_Toc436264526"/>
      <w:bookmarkStart w:id="681" w:name="_Toc436290605"/>
      <w:bookmarkStart w:id="682" w:name="_Toc436290670"/>
      <w:bookmarkStart w:id="683" w:name="_Toc436291007"/>
      <w:bookmarkStart w:id="684" w:name="_Toc436291188"/>
      <w:bookmarkStart w:id="685" w:name="_Toc436291251"/>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p>
    <w:p w14:paraId="3D17F573" w14:textId="250E0676" w:rsidR="009B6133" w:rsidRPr="0065554C" w:rsidRDefault="009B6133" w:rsidP="009B6133">
      <w:pPr>
        <w:pStyle w:val="Numeral"/>
      </w:pPr>
      <w:r w:rsidRPr="0065554C">
        <w:t xml:space="preserve">Asimismo, </w:t>
      </w:r>
      <w:r w:rsidR="009A22F3">
        <w:t xml:space="preserve">de conformidad con el numeral 5.2.2 de la Guía Operativa, </w:t>
      </w:r>
      <w:r w:rsidRPr="0065554C">
        <w:t>el Comprador Potencial quedará obligado de acreditar al menos el 50% de la Contribución al Fondo de Reserva a través de depósitos en garantía, al menos tres días hábiles antes de la cita mencionada en el numeral 8.</w:t>
      </w:r>
      <w:r w:rsidR="00140072">
        <w:t>6</w:t>
      </w:r>
      <w:r w:rsidRPr="0065554C">
        <w:t>.1 de las Bases de Licitación, en la que se llevará a cabo la suscripción del Contrato.</w:t>
      </w:r>
    </w:p>
    <w:p w14:paraId="5B301AE3" w14:textId="77777777" w:rsidR="009B6133" w:rsidRPr="0065554C" w:rsidRDefault="009B6133" w:rsidP="00B47852">
      <w:pPr>
        <w:pStyle w:val="Numeral"/>
        <w:numPr>
          <w:ilvl w:val="0"/>
          <w:numId w:val="0"/>
        </w:numPr>
        <w:ind w:left="1844"/>
      </w:pPr>
    </w:p>
    <w:p w14:paraId="5F8455B2" w14:textId="77777777" w:rsidR="00160338" w:rsidRPr="0065554C" w:rsidRDefault="00160338">
      <w:pPr>
        <w:pStyle w:val="Seccin"/>
      </w:pPr>
      <w:bookmarkStart w:id="686" w:name="_Toc450201451"/>
      <w:bookmarkStart w:id="687" w:name="_Toc479255755"/>
      <w:bookmarkStart w:id="688" w:name="_Toc454100271"/>
      <w:bookmarkStart w:id="689" w:name="_Toc479763805"/>
      <w:bookmarkStart w:id="690" w:name="_Toc509413043"/>
      <w:r w:rsidRPr="0065554C">
        <w:t>Proceso de Interconexión</w:t>
      </w:r>
      <w:bookmarkEnd w:id="686"/>
      <w:bookmarkEnd w:id="687"/>
      <w:bookmarkEnd w:id="688"/>
      <w:bookmarkEnd w:id="689"/>
      <w:bookmarkEnd w:id="690"/>
    </w:p>
    <w:p w14:paraId="72D888B2" w14:textId="77777777" w:rsidR="00160338" w:rsidRPr="0065554C" w:rsidRDefault="00160338" w:rsidP="005E311D">
      <w:pPr>
        <w:pStyle w:val="Numeral"/>
      </w:pPr>
      <w:r w:rsidRPr="0065554C">
        <w:t xml:space="preserve">Los Licitantes cuyas Ofertas de Venta hayan sido declaradas ganadoras en el Fallo de la Subasta y que no cuenten con </w:t>
      </w:r>
      <w:r w:rsidR="00903C2A" w:rsidRPr="0065554C">
        <w:t xml:space="preserve">derechos de prelación o con </w:t>
      </w:r>
      <w:r w:rsidRPr="0065554C">
        <w:t xml:space="preserve">contrato de interconexión para asegurar la interconexión de la o las Centrales Eléctricas asociadas a su Oferta de Venta, deberán continuar el proceso de interconexión </w:t>
      </w:r>
      <w:r w:rsidR="00F03EBC" w:rsidRPr="0065554C">
        <w:t>que debieron haber</w:t>
      </w:r>
      <w:r w:rsidRPr="0065554C">
        <w:t xml:space="preserve"> inicia</w:t>
      </w:r>
      <w:r w:rsidR="00F03EBC" w:rsidRPr="0065554C">
        <w:t>do</w:t>
      </w:r>
      <w:r w:rsidRPr="0065554C">
        <w:t xml:space="preserve"> ante el CENACE </w:t>
      </w:r>
      <w:r w:rsidR="00F03EBC" w:rsidRPr="0065554C">
        <w:t>con la solicitud de estudio</w:t>
      </w:r>
      <w:r w:rsidR="0077242F" w:rsidRPr="0065554C">
        <w:t xml:space="preserve"> i</w:t>
      </w:r>
      <w:r w:rsidR="008D5933" w:rsidRPr="0065554C">
        <w:t>ndicativo</w:t>
      </w:r>
      <w:r w:rsidR="00F03EBC" w:rsidRPr="0065554C">
        <w:t xml:space="preserve"> diez días hábiles antes de la presentación de la solicitud de precalificación de Ofertas de Venta</w:t>
      </w:r>
      <w:r w:rsidRPr="0065554C">
        <w:t xml:space="preserve">, </w:t>
      </w:r>
      <w:r w:rsidR="00F03EBC" w:rsidRPr="0065554C">
        <w:t xml:space="preserve">con el objetivo de </w:t>
      </w:r>
      <w:r w:rsidRPr="0065554C">
        <w:t>definir las características específicas de la infraestructura requerida para realizar la interconexión correspondiente, de conformidad con la normatividad aplicable. Para ello</w:t>
      </w:r>
      <w:r w:rsidR="006A3B7F" w:rsidRPr="0065554C">
        <w:t>,</w:t>
      </w:r>
      <w:r w:rsidRPr="0065554C">
        <w:t xml:space="preserve"> </w:t>
      </w:r>
      <w:r w:rsidR="00F03EBC" w:rsidRPr="0065554C">
        <w:t xml:space="preserve">se mencionan </w:t>
      </w:r>
      <w:r w:rsidR="006A3B7F" w:rsidRPr="0065554C">
        <w:t xml:space="preserve">a continuación </w:t>
      </w:r>
      <w:r w:rsidR="00F03EBC" w:rsidRPr="0065554C">
        <w:t>las etapas del proceso de interconexión</w:t>
      </w:r>
      <w:r w:rsidRPr="0065554C">
        <w:t>:</w:t>
      </w:r>
    </w:p>
    <w:p w14:paraId="7800F83E" w14:textId="77777777" w:rsidR="00160338" w:rsidRPr="0065554C" w:rsidRDefault="00F03EBC" w:rsidP="005E311D">
      <w:pPr>
        <w:pStyle w:val="Inciso"/>
      </w:pPr>
      <w:r w:rsidRPr="0065554C">
        <w:t xml:space="preserve">Obtener el </w:t>
      </w:r>
      <w:r w:rsidR="00160338" w:rsidRPr="0065554C">
        <w:t>Estudio Indicativo cumpliendo con las responsabilidades y requerimientos para que el CENACE elabore el estudio.</w:t>
      </w:r>
    </w:p>
    <w:p w14:paraId="58404BCC" w14:textId="77777777" w:rsidR="00160338" w:rsidRPr="0065554C" w:rsidRDefault="00F03EBC" w:rsidP="005E311D">
      <w:pPr>
        <w:pStyle w:val="Inciso"/>
      </w:pPr>
      <w:r w:rsidRPr="0065554C">
        <w:t xml:space="preserve">Obtener el </w:t>
      </w:r>
      <w:r w:rsidR="00160338" w:rsidRPr="0065554C">
        <w:t>Estudio de Impacto en el Sistema, cumpliendo con las responsabilidades y requerimientos para que el CENACE elabore el estudio</w:t>
      </w:r>
      <w:r w:rsidR="00770217" w:rsidRPr="0065554C">
        <w:t>.</w:t>
      </w:r>
    </w:p>
    <w:p w14:paraId="35A8B2E4" w14:textId="77777777" w:rsidR="00160338" w:rsidRPr="0065554C" w:rsidRDefault="00F03EBC" w:rsidP="005E311D">
      <w:pPr>
        <w:pStyle w:val="Inciso"/>
      </w:pPr>
      <w:r w:rsidRPr="0065554C">
        <w:t xml:space="preserve">Obtener el </w:t>
      </w:r>
      <w:r w:rsidR="00160338" w:rsidRPr="0065554C">
        <w:t>Estudio de Instalaciones, cumpliendo con las responsabilidades y requerimientos para que el CENACE elabore el estudio.</w:t>
      </w:r>
    </w:p>
    <w:p w14:paraId="23E3B03E" w14:textId="77777777" w:rsidR="00160338" w:rsidRPr="0065554C" w:rsidRDefault="00160338" w:rsidP="005E311D">
      <w:pPr>
        <w:pStyle w:val="Inciso"/>
      </w:pPr>
      <w:r w:rsidRPr="0065554C">
        <w:t>Cubrir el monto de la Garantía Financiera que corresponda.</w:t>
      </w:r>
    </w:p>
    <w:p w14:paraId="70ED0513" w14:textId="77777777" w:rsidR="00BC02B1" w:rsidRPr="0065554C" w:rsidRDefault="00BC02B1" w:rsidP="00BC02B1">
      <w:pPr>
        <w:pStyle w:val="Inciso"/>
      </w:pPr>
      <w:r w:rsidRPr="0065554C">
        <w:t xml:space="preserve">Suscribir el contrato de interconexión, cumpliendo lo establecido en el Manual para la Interconexión de Centrales Eléctricas y Conexión de Centros de Carga, publicado en el Diario Oficial de la Federación el </w:t>
      </w:r>
      <w:r w:rsidR="00FB7DC5" w:rsidRPr="0065554C">
        <w:t>nueve</w:t>
      </w:r>
      <w:r w:rsidRPr="0065554C">
        <w:t xml:space="preserve"> de febrero de 2018.</w:t>
      </w:r>
    </w:p>
    <w:p w14:paraId="4FE89FD7" w14:textId="77777777" w:rsidR="00BC02B1" w:rsidRPr="0065554C" w:rsidRDefault="00BC02B1" w:rsidP="00BC02B1">
      <w:pPr>
        <w:pStyle w:val="Inciso"/>
      </w:pPr>
      <w:r w:rsidRPr="0065554C">
        <w:t xml:space="preserve">Para las solicitudes que se encuentren en trámite hasta antes de la publicación del </w:t>
      </w:r>
      <w:r w:rsidR="00692D19" w:rsidRPr="0065554C">
        <w:t xml:space="preserve">Manual para la Interconexión de Centrales Eléctricas y Conexión de Centros de Carga, publicado en el Diario Oficial de la Federación el </w:t>
      </w:r>
      <w:r w:rsidR="00FB7DC5" w:rsidRPr="0065554C">
        <w:t>nueve</w:t>
      </w:r>
      <w:r w:rsidR="00692D19" w:rsidRPr="0065554C">
        <w:t xml:space="preserve"> de febrero de 2018</w:t>
      </w:r>
      <w:r w:rsidRPr="0065554C">
        <w:t xml:space="preserve">, seguirán siendo aplicables las disposiciones establecidas en el Criterio 43 de los </w:t>
      </w:r>
      <w:r w:rsidRPr="0065554C">
        <w:rPr>
          <w:i/>
        </w:rPr>
        <w:t>CRITERIOS</w:t>
      </w:r>
      <w:r w:rsidRPr="0065554C">
        <w:t xml:space="preserve"> mediante los que se establecen las características específicas de la infraestructura </w:t>
      </w:r>
      <w:r w:rsidRPr="0065554C">
        <w:lastRenderedPageBreak/>
        <w:t xml:space="preserve">requerida para la interconexión de centrales eléctricas y conexión de centros de carga publicados en </w:t>
      </w:r>
      <w:bookmarkStart w:id="691" w:name="_Hlk506801777"/>
      <w:r w:rsidRPr="0065554C">
        <w:t xml:space="preserve">el Diario Oficial de la Federación el </w:t>
      </w:r>
      <w:r w:rsidR="00FB7DC5" w:rsidRPr="0065554C">
        <w:t>dos</w:t>
      </w:r>
      <w:r w:rsidRPr="0065554C">
        <w:t xml:space="preserve"> de junio de 2015.</w:t>
      </w:r>
    </w:p>
    <w:p w14:paraId="2A48D159" w14:textId="77777777" w:rsidR="009B6133" w:rsidRPr="0065554C" w:rsidRDefault="009B6133" w:rsidP="009B6133">
      <w:pPr>
        <w:pStyle w:val="Seccin"/>
      </w:pPr>
      <w:r w:rsidRPr="0065554C">
        <w:t>Contribución al Fondo de Reserva</w:t>
      </w:r>
    </w:p>
    <w:p w14:paraId="46941FCB" w14:textId="41CEEC38" w:rsidR="009B6133" w:rsidRPr="0065554C" w:rsidRDefault="00D66B28" w:rsidP="009B6133">
      <w:pPr>
        <w:pStyle w:val="Numeral"/>
      </w:pPr>
      <w:r>
        <w:t>Conforme al numeral 5.1.2 de la Guía Operativa de la Cámara de Compensación, l</w:t>
      </w:r>
      <w:r w:rsidR="009B6133" w:rsidRPr="0065554C">
        <w:t>os Compradores distintos a los Suministradores de Servicios Básicos, estarán obligados a contribuir al Fondo de Reserva.</w:t>
      </w:r>
    </w:p>
    <w:p w14:paraId="3B948E21" w14:textId="77777777" w:rsidR="009B6133" w:rsidRPr="0065554C" w:rsidRDefault="009B6133" w:rsidP="009B6133">
      <w:pPr>
        <w:pStyle w:val="Numeral"/>
      </w:pPr>
      <w:r w:rsidRPr="0065554C">
        <w:t xml:space="preserve">La contribución al Fondo de Reserva, deberá ser aportada por cada Comprador, conforme a lo establecido en los numerales 5.2.1, 5.2.2, 5.2.3 y 5.2.4 de la Guía </w:t>
      </w:r>
      <w:r w:rsidR="00B47852" w:rsidRPr="0065554C">
        <w:t>Operativa.</w:t>
      </w:r>
    </w:p>
    <w:p w14:paraId="4D1D6A98" w14:textId="77777777" w:rsidR="009B6133" w:rsidRPr="0065554C" w:rsidRDefault="009B6133" w:rsidP="009B6133">
      <w:pPr>
        <w:pStyle w:val="Numeral"/>
      </w:pPr>
      <w:r w:rsidRPr="0065554C">
        <w:t>Conforme a lo descrito en los numerales 5.4.2, 5.4.3 y 5.4.4 de la Guía Operativa, la Cámara de Compensación validará y administrará la Contribución al Fondo de Reserva.</w:t>
      </w:r>
    </w:p>
    <w:p w14:paraId="7C8F248E" w14:textId="77777777" w:rsidR="009B6133" w:rsidRPr="0065554C" w:rsidRDefault="009B6133" w:rsidP="009B6133">
      <w:pPr>
        <w:pStyle w:val="Numeral"/>
        <w:numPr>
          <w:ilvl w:val="0"/>
          <w:numId w:val="0"/>
        </w:numPr>
        <w:ind w:left="1844"/>
      </w:pPr>
      <w:r w:rsidRPr="0065554C">
        <w:t>Los Compradores podrán presentar a la Cámara de Compensación el borrador de la Carta de Crédito para la Contribución al Fondo de Reserva, hasta cinco días hábiles previos a la fecha límite para su entrega, con la finalidad de que la Cámara de Compensación revise el contenido de la misma y verifique que cumple con los requisitos necesarios de manera que, de ser necesario, tengan la oportunidad de ajustar dicho contenido. La Cámara de Compensación contará con un plazo de hasta tres días hábiles para revisar el borrador de la Carta de Crédito para la Contribución al Fondo de Reserva y notificar la parte correspondiente lo conducente; este plazo es independiente del tiempo que requieran los Compradores para llevar a cabo las modificaciones que correspondan.</w:t>
      </w:r>
    </w:p>
    <w:p w14:paraId="1A7A458A" w14:textId="77777777" w:rsidR="009B6133" w:rsidRPr="0065554C" w:rsidRDefault="009B6133" w:rsidP="00B47852">
      <w:pPr>
        <w:pStyle w:val="Subinciso"/>
        <w:numPr>
          <w:ilvl w:val="0"/>
          <w:numId w:val="0"/>
        </w:numPr>
      </w:pPr>
    </w:p>
    <w:p w14:paraId="5FCA6C9D" w14:textId="77777777" w:rsidR="00160338" w:rsidRPr="0065554C" w:rsidRDefault="00160338" w:rsidP="00361661">
      <w:pPr>
        <w:pStyle w:val="Captulo"/>
      </w:pPr>
      <w:bookmarkStart w:id="692" w:name="_Toc478985533"/>
      <w:bookmarkEnd w:id="691"/>
      <w:bookmarkEnd w:id="692"/>
      <w:r w:rsidRPr="0065554C">
        <w:lastRenderedPageBreak/>
        <w:br/>
      </w:r>
      <w:bookmarkStart w:id="693" w:name="_Toc436487881"/>
      <w:bookmarkStart w:id="694" w:name="_Toc479255756"/>
      <w:bookmarkStart w:id="695" w:name="_Toc454100272"/>
      <w:bookmarkStart w:id="696" w:name="_Toc479763806"/>
      <w:bookmarkStart w:id="697" w:name="_Toc509413044"/>
      <w:r w:rsidRPr="0065554C">
        <w:t>Desechamiento</w:t>
      </w:r>
      <w:bookmarkEnd w:id="693"/>
      <w:r w:rsidRPr="0065554C">
        <w:t xml:space="preserve"> de ofertas</w:t>
      </w:r>
      <w:bookmarkEnd w:id="694"/>
      <w:bookmarkEnd w:id="695"/>
      <w:bookmarkEnd w:id="696"/>
      <w:bookmarkEnd w:id="697"/>
    </w:p>
    <w:p w14:paraId="73B5A6B0" w14:textId="77777777" w:rsidR="00160338" w:rsidRPr="0065554C" w:rsidRDefault="00160338" w:rsidP="00D42E95">
      <w:pPr>
        <w:pStyle w:val="Seccin"/>
        <w:numPr>
          <w:ilvl w:val="1"/>
          <w:numId w:val="6"/>
        </w:numPr>
      </w:pPr>
      <w:bookmarkStart w:id="698" w:name="_Toc450638611"/>
      <w:bookmarkStart w:id="699" w:name="_Toc479255757"/>
      <w:bookmarkStart w:id="700" w:name="_Toc454100273"/>
      <w:bookmarkStart w:id="701" w:name="_Toc479763807"/>
      <w:bookmarkStart w:id="702" w:name="_Toc509413045"/>
      <w:r w:rsidRPr="0065554C">
        <w:t xml:space="preserve">Causales de desechamiento </w:t>
      </w:r>
      <w:bookmarkEnd w:id="698"/>
      <w:r w:rsidRPr="0065554C">
        <w:t>de ofertas</w:t>
      </w:r>
      <w:bookmarkEnd w:id="699"/>
      <w:bookmarkEnd w:id="700"/>
      <w:bookmarkEnd w:id="701"/>
      <w:bookmarkEnd w:id="702"/>
    </w:p>
    <w:p w14:paraId="1AC89E1C" w14:textId="77777777" w:rsidR="00160338" w:rsidRPr="0065554C" w:rsidRDefault="00160338" w:rsidP="005E311D">
      <w:pPr>
        <w:pStyle w:val="Numeral"/>
      </w:pPr>
      <w:r w:rsidRPr="0065554C">
        <w:t>Las ofertas presentadas por los Compradores Potenciales o los Licitantes, según sea el caso, serán desechadas por las siguientes causales:</w:t>
      </w:r>
    </w:p>
    <w:p w14:paraId="1D664881" w14:textId="77777777" w:rsidR="00903C2A" w:rsidRPr="0065554C" w:rsidRDefault="00903C2A" w:rsidP="005E311D">
      <w:pPr>
        <w:pStyle w:val="Inciso"/>
      </w:pPr>
      <w:r w:rsidRPr="0065554C">
        <w:t>No cumplir con los requisitos de tiempo y forma establecidos en las presentes Bases de Licitación.</w:t>
      </w:r>
    </w:p>
    <w:p w14:paraId="77F83668" w14:textId="77777777" w:rsidR="00160338" w:rsidRPr="0065554C" w:rsidRDefault="00160338" w:rsidP="005E311D">
      <w:pPr>
        <w:pStyle w:val="Inciso"/>
      </w:pPr>
      <w:r w:rsidRPr="0065554C">
        <w:t>No presentar Garantía de Seriedad conforme a las Bases de Licitación.</w:t>
      </w:r>
    </w:p>
    <w:p w14:paraId="084C20CE" w14:textId="77777777" w:rsidR="00903C2A" w:rsidRPr="0065554C" w:rsidRDefault="00903C2A" w:rsidP="005E311D">
      <w:pPr>
        <w:pStyle w:val="Inciso"/>
      </w:pPr>
      <w:r w:rsidRPr="0065554C">
        <w:t>Que la oferta económica de las Ofertas de Venta no se presente conforme a lo establecido en las Bases de Licitación.</w:t>
      </w:r>
    </w:p>
    <w:p w14:paraId="6B933D66" w14:textId="77777777" w:rsidR="00903C2A" w:rsidRPr="0065554C" w:rsidRDefault="00903C2A" w:rsidP="005E311D">
      <w:pPr>
        <w:pStyle w:val="Inciso"/>
      </w:pPr>
      <w:r w:rsidRPr="0065554C">
        <w:t xml:space="preserve">Que </w:t>
      </w:r>
      <w:r w:rsidR="00D66320" w:rsidRPr="0065554C">
        <w:t xml:space="preserve">en la etapa de </w:t>
      </w:r>
      <w:r w:rsidRPr="0065554C">
        <w:t xml:space="preserve">evaluación de las Ofertas de Venta se </w:t>
      </w:r>
      <w:r w:rsidR="000B5B24" w:rsidRPr="0065554C">
        <w:t>observe</w:t>
      </w:r>
      <w:r w:rsidRPr="0065554C">
        <w:t xml:space="preserve"> que </w:t>
      </w:r>
      <w:r w:rsidR="000B5B24" w:rsidRPr="0065554C">
        <w:t xml:space="preserve">el precio es menor o igual </w:t>
      </w:r>
      <w:r w:rsidRPr="0065554C">
        <w:t xml:space="preserve">al </w:t>
      </w:r>
      <w:r w:rsidR="000B5B24" w:rsidRPr="0065554C">
        <w:t xml:space="preserve">valor que se </w:t>
      </w:r>
      <w:r w:rsidRPr="0065554C">
        <w:t>obtendría al sumar los montos que resulten de multiplicar la cantidad de cada Producto incluido en el paquete por el 10% del precio máximo que establezca el Comprador Potencial.</w:t>
      </w:r>
    </w:p>
    <w:p w14:paraId="0AA76599" w14:textId="77777777" w:rsidR="00160338" w:rsidRPr="0065554C" w:rsidRDefault="00160338" w:rsidP="005E311D">
      <w:pPr>
        <w:pStyle w:val="Inciso"/>
      </w:pPr>
      <w:r w:rsidRPr="0065554C">
        <w:t>Se acredite que la información proporcionada por los Interesados, Compradores Potenciales o Licitantes es falsa.</w:t>
      </w:r>
    </w:p>
    <w:p w14:paraId="52F155A7" w14:textId="77777777" w:rsidR="00160338" w:rsidRPr="0065554C" w:rsidRDefault="00160338" w:rsidP="005E311D">
      <w:pPr>
        <w:pStyle w:val="Inciso"/>
      </w:pPr>
      <w:r w:rsidRPr="0065554C">
        <w:t>Se acredite que los documentos proporcionados por los Interesados, Compradores Potenciales o Licitantes han sido alterados para modificar el contenido de los mismos.</w:t>
      </w:r>
    </w:p>
    <w:p w14:paraId="0F6FD4EB" w14:textId="77777777" w:rsidR="00160338" w:rsidRPr="0065554C" w:rsidRDefault="00160338" w:rsidP="005E311D">
      <w:pPr>
        <w:pStyle w:val="Inciso"/>
      </w:pPr>
      <w:r w:rsidRPr="0065554C">
        <w:t>Se acredite que el Comprador Potencial o Licitante estableció acuerdos con otro u otros Compradores Potenciales o Licitantes para distorsionar la Subasta u obtener alguna ventaja indebida.</w:t>
      </w:r>
    </w:p>
    <w:p w14:paraId="5047E867" w14:textId="77777777" w:rsidR="00160338" w:rsidRPr="0065554C" w:rsidRDefault="00160338" w:rsidP="005E311D">
      <w:pPr>
        <w:pStyle w:val="Inciso"/>
      </w:pPr>
      <w:r w:rsidRPr="0065554C">
        <w:t xml:space="preserve">Se acredite que el Comprador Potencial o Licitante estableció acuerdos </w:t>
      </w:r>
      <w:r w:rsidR="00FB7DC5" w:rsidRPr="0065554C">
        <w:t xml:space="preserve">y/o asesorías </w:t>
      </w:r>
      <w:r w:rsidRPr="0065554C">
        <w:t xml:space="preserve">con un servidor público, con las personas señaladas en la lista de personas impedidas, o con cualquier persona involucrada en la organización de la Subasta para obtener alguna ventaja indebida. </w:t>
      </w:r>
    </w:p>
    <w:p w14:paraId="71AB97A0" w14:textId="77777777" w:rsidR="00160338" w:rsidRPr="0065554C" w:rsidRDefault="00160338" w:rsidP="005E311D">
      <w:pPr>
        <w:pStyle w:val="Inciso"/>
      </w:pPr>
      <w:r w:rsidRPr="0065554C">
        <w:t>Cuando el Comprador Potencial o Licitante haya obtenido información privilegiada relacionada con la Subasta, sin que se pueda comprobar que se tuvo acceso a ella a través de un medio lícito.</w:t>
      </w:r>
    </w:p>
    <w:p w14:paraId="5EE4B7A7" w14:textId="77777777" w:rsidR="00160338" w:rsidRPr="0065554C" w:rsidRDefault="00160338" w:rsidP="005E311D">
      <w:pPr>
        <w:pStyle w:val="Inciso"/>
      </w:pPr>
      <w:r w:rsidRPr="0065554C">
        <w:t>Cuando el Comprador Potencial o Licitante incurra en cualquier violación a las disposiciones de la Ley, su Reglamento, a las Reglas del Mercado o a cualquier otro ordenamiento legal en la materia.</w:t>
      </w:r>
    </w:p>
    <w:p w14:paraId="07667C7B" w14:textId="77777777" w:rsidR="00361661" w:rsidRPr="0065554C" w:rsidRDefault="00361661" w:rsidP="00361661">
      <w:pPr>
        <w:pStyle w:val="Subinciso"/>
        <w:rPr>
          <w:rFonts w:cstheme="minorHAnsi"/>
        </w:rPr>
      </w:pPr>
      <w:r w:rsidRPr="0065554C">
        <w:rPr>
          <w:rFonts w:cstheme="minorHAnsi"/>
        </w:rPr>
        <w:t>Cuando una Oferta de Venta</w:t>
      </w:r>
      <w:r w:rsidR="003232BC" w:rsidRPr="0065554C">
        <w:rPr>
          <w:rFonts w:cstheme="minorHAnsi"/>
        </w:rPr>
        <w:t xml:space="preserve"> </w:t>
      </w:r>
      <w:r w:rsidRPr="0065554C">
        <w:rPr>
          <w:rFonts w:cstheme="minorHAnsi"/>
        </w:rPr>
        <w:t xml:space="preserve">se encuentra a condicionada a otra Oferta de Venta y dicha oferta se encuentre dentro de los siguientes supuestos: </w:t>
      </w:r>
    </w:p>
    <w:p w14:paraId="01C22300" w14:textId="77777777" w:rsidR="00361661" w:rsidRPr="0065554C" w:rsidRDefault="00361661" w:rsidP="00D205A0">
      <w:pPr>
        <w:pStyle w:val="Subapartado"/>
        <w:ind w:firstLine="5245"/>
        <w:rPr>
          <w:rFonts w:asciiTheme="minorHAnsi" w:hAnsiTheme="minorHAnsi" w:cstheme="minorHAnsi"/>
          <w:sz w:val="22"/>
        </w:rPr>
      </w:pPr>
      <w:r w:rsidRPr="0065554C">
        <w:rPr>
          <w:rFonts w:asciiTheme="minorHAnsi" w:hAnsiTheme="minorHAnsi" w:cstheme="minorHAnsi"/>
          <w:sz w:val="22"/>
        </w:rPr>
        <w:lastRenderedPageBreak/>
        <w:t>No tenga Constancia de Precalificación</w:t>
      </w:r>
    </w:p>
    <w:p w14:paraId="0FC55FD7" w14:textId="77777777" w:rsidR="00361661" w:rsidRPr="0065554C" w:rsidRDefault="00361661" w:rsidP="00D205A0">
      <w:pPr>
        <w:pStyle w:val="Subapartado"/>
        <w:ind w:firstLine="5245"/>
        <w:rPr>
          <w:rFonts w:asciiTheme="minorHAnsi" w:hAnsiTheme="minorHAnsi" w:cstheme="minorHAnsi"/>
          <w:sz w:val="22"/>
        </w:rPr>
      </w:pPr>
      <w:r w:rsidRPr="0065554C">
        <w:rPr>
          <w:rFonts w:asciiTheme="minorHAnsi" w:hAnsiTheme="minorHAnsi" w:cstheme="minorHAnsi"/>
          <w:sz w:val="22"/>
        </w:rPr>
        <w:t>Se haya Desistido</w:t>
      </w:r>
    </w:p>
    <w:p w14:paraId="21FA6E5C" w14:textId="77777777" w:rsidR="00361661" w:rsidRPr="0065554C" w:rsidRDefault="00361661" w:rsidP="00D205A0">
      <w:pPr>
        <w:pStyle w:val="Subapartado"/>
        <w:ind w:firstLine="5245"/>
        <w:rPr>
          <w:rFonts w:asciiTheme="minorHAnsi" w:hAnsiTheme="minorHAnsi" w:cstheme="minorHAnsi"/>
          <w:sz w:val="22"/>
        </w:rPr>
      </w:pPr>
      <w:r w:rsidRPr="0065554C">
        <w:rPr>
          <w:rFonts w:asciiTheme="minorHAnsi" w:hAnsiTheme="minorHAnsi" w:cstheme="minorHAnsi"/>
          <w:sz w:val="22"/>
        </w:rPr>
        <w:t>Se haya Desechado</w:t>
      </w:r>
    </w:p>
    <w:p w14:paraId="1F689332" w14:textId="77777777" w:rsidR="00361661" w:rsidRPr="0065554C" w:rsidRDefault="00361661" w:rsidP="00D205A0">
      <w:pPr>
        <w:pStyle w:val="Subapartado"/>
        <w:ind w:firstLine="5245"/>
        <w:rPr>
          <w:rFonts w:asciiTheme="minorHAnsi" w:hAnsiTheme="minorHAnsi" w:cstheme="minorHAnsi"/>
          <w:sz w:val="22"/>
        </w:rPr>
      </w:pPr>
      <w:r w:rsidRPr="0065554C">
        <w:rPr>
          <w:rFonts w:asciiTheme="minorHAnsi" w:hAnsiTheme="minorHAnsi" w:cstheme="minorHAnsi"/>
          <w:sz w:val="22"/>
        </w:rPr>
        <w:t>No presente Oferta de Venta Económica.</w:t>
      </w:r>
    </w:p>
    <w:p w14:paraId="09E39B7E" w14:textId="77777777" w:rsidR="00160338" w:rsidRPr="0065554C" w:rsidRDefault="00160338" w:rsidP="00160338">
      <w:pPr>
        <w:pStyle w:val="Seccin"/>
      </w:pPr>
      <w:bookmarkStart w:id="703" w:name="_Toc479255758"/>
      <w:bookmarkStart w:id="704" w:name="_Toc454100274"/>
      <w:bookmarkStart w:id="705" w:name="_Toc479763808"/>
      <w:bookmarkStart w:id="706" w:name="_Toc509413046"/>
      <w:r w:rsidRPr="0065554C">
        <w:t xml:space="preserve">Procedimiento para el </w:t>
      </w:r>
      <w:r w:rsidR="00F7548F" w:rsidRPr="0065554C">
        <w:t>D</w:t>
      </w:r>
      <w:r w:rsidRPr="0065554C">
        <w:t xml:space="preserve">esechamiento de </w:t>
      </w:r>
      <w:r w:rsidR="00F7548F" w:rsidRPr="0065554C">
        <w:t>O</w:t>
      </w:r>
      <w:r w:rsidRPr="0065554C">
        <w:t>fertas</w:t>
      </w:r>
      <w:bookmarkEnd w:id="703"/>
      <w:bookmarkEnd w:id="704"/>
      <w:bookmarkEnd w:id="705"/>
      <w:bookmarkEnd w:id="706"/>
      <w:r w:rsidR="00F7548F" w:rsidRPr="0065554C">
        <w:t xml:space="preserve"> de Venta</w:t>
      </w:r>
    </w:p>
    <w:p w14:paraId="7BD0D855" w14:textId="77777777" w:rsidR="00160338" w:rsidRPr="0065554C" w:rsidRDefault="00160338" w:rsidP="005E311D">
      <w:pPr>
        <w:pStyle w:val="Numeral"/>
      </w:pPr>
      <w:r w:rsidRPr="0065554C">
        <w:t>El CENACE procederá a emitir resolución, en un plazo que no excederá de la fecha de emisión del Fallo, donde conste el hecho y lo comunicará al Licitante, mediante notificación a través del Sitio, adjuntando a la misma copia de la resolución que contendrá al menos lo siguiente:</w:t>
      </w:r>
    </w:p>
    <w:p w14:paraId="1608317D" w14:textId="77777777" w:rsidR="00160338" w:rsidRPr="0065554C" w:rsidRDefault="00160338" w:rsidP="005E311D">
      <w:pPr>
        <w:pStyle w:val="Inciso"/>
      </w:pPr>
      <w:r w:rsidRPr="0065554C">
        <w:t xml:space="preserve">La oferta u ofertas que fueron desechadas, expresando la causal que sustenta tal determinación e indicando los puntos de las presentes Bases de Licitación que en cada caso se incumpla. </w:t>
      </w:r>
    </w:p>
    <w:p w14:paraId="535F3E95" w14:textId="77777777" w:rsidR="00160338" w:rsidRPr="0065554C" w:rsidRDefault="00160338" w:rsidP="005E311D">
      <w:pPr>
        <w:pStyle w:val="Inciso"/>
      </w:pPr>
      <w:r w:rsidRPr="0065554C">
        <w:t>La fecha de emisión del acto.</w:t>
      </w:r>
    </w:p>
    <w:p w14:paraId="07F0C07C" w14:textId="77777777" w:rsidR="00160338" w:rsidRPr="0065554C" w:rsidRDefault="00160338" w:rsidP="005E311D">
      <w:pPr>
        <w:pStyle w:val="Inciso"/>
      </w:pPr>
      <w:r w:rsidRPr="0065554C">
        <w:t>Los datos de identificación de la unidad administrativa emisora del acto.</w:t>
      </w:r>
    </w:p>
    <w:p w14:paraId="3A150D2B" w14:textId="77777777" w:rsidR="00160338" w:rsidRPr="0065554C" w:rsidRDefault="00160338" w:rsidP="005E311D">
      <w:pPr>
        <w:pStyle w:val="Inciso"/>
      </w:pPr>
      <w:r w:rsidRPr="0065554C">
        <w:t>La firma autógrafa de los servidores públicos emisores del acto.</w:t>
      </w:r>
    </w:p>
    <w:p w14:paraId="54A70655" w14:textId="77777777" w:rsidR="0094467F" w:rsidRPr="0065554C" w:rsidRDefault="00160338" w:rsidP="005E311D">
      <w:pPr>
        <w:pStyle w:val="Numeral"/>
      </w:pPr>
      <w:r w:rsidRPr="0065554C">
        <w:t>Tratándose de los incisos (</w:t>
      </w:r>
      <w:r w:rsidR="00CA2067" w:rsidRPr="0065554C">
        <w:t>f</w:t>
      </w:r>
      <w:r w:rsidRPr="0065554C">
        <w:t>) a (</w:t>
      </w:r>
      <w:r w:rsidR="00832979" w:rsidRPr="0065554C">
        <w:t>j</w:t>
      </w:r>
      <w:r w:rsidRPr="0065554C">
        <w:t>) del numeral 9.1.1</w:t>
      </w:r>
      <w:r w:rsidRPr="0065554C">
        <w:rPr>
          <w:szCs w:val="20"/>
        </w:rPr>
        <w:t xml:space="preserve">, el CENACE </w:t>
      </w:r>
      <w:r w:rsidRPr="0065554C">
        <w:t xml:space="preserve">no </w:t>
      </w:r>
      <w:r w:rsidR="005F4098" w:rsidRPr="0065554C">
        <w:t>cancelará</w:t>
      </w:r>
      <w:r w:rsidRPr="0065554C">
        <w:t xml:space="preserve"> la Garantía de Seriedad hasta que la autoridad competente para analizar la causal invocada se pronuncie respecto de la misma.</w:t>
      </w:r>
    </w:p>
    <w:p w14:paraId="26AAD14F" w14:textId="77777777" w:rsidR="0094467F" w:rsidRPr="0065554C" w:rsidRDefault="0094467F" w:rsidP="00CC0E1C">
      <w:pPr>
        <w:rPr>
          <w:lang w:val="es-ES_tradnl"/>
        </w:rPr>
      </w:pPr>
    </w:p>
    <w:p w14:paraId="022C82CB" w14:textId="77777777" w:rsidR="0094467F" w:rsidRPr="0065554C" w:rsidRDefault="0094467F" w:rsidP="00CC0E1C">
      <w:pPr>
        <w:rPr>
          <w:lang w:val="es-ES_tradnl"/>
        </w:rPr>
      </w:pPr>
    </w:p>
    <w:p w14:paraId="00A256FA" w14:textId="77777777" w:rsidR="0094467F" w:rsidRPr="0065554C" w:rsidRDefault="0094467F" w:rsidP="00CC0E1C">
      <w:pPr>
        <w:rPr>
          <w:lang w:val="es-ES_tradnl"/>
        </w:rPr>
      </w:pPr>
    </w:p>
    <w:p w14:paraId="6EEF7542" w14:textId="77777777" w:rsidR="0094467F" w:rsidRPr="0065554C" w:rsidRDefault="0094467F" w:rsidP="00CC0E1C">
      <w:pPr>
        <w:rPr>
          <w:lang w:val="es-ES_tradnl"/>
        </w:rPr>
      </w:pPr>
    </w:p>
    <w:p w14:paraId="73725DE7" w14:textId="77777777" w:rsidR="0094467F" w:rsidRPr="0065554C" w:rsidRDefault="0094467F" w:rsidP="00CC0E1C">
      <w:pPr>
        <w:rPr>
          <w:lang w:val="es-ES_tradnl"/>
        </w:rPr>
      </w:pPr>
    </w:p>
    <w:p w14:paraId="05895A89" w14:textId="77777777" w:rsidR="0094467F" w:rsidRPr="0065554C" w:rsidRDefault="0094467F" w:rsidP="00CC0E1C">
      <w:pPr>
        <w:rPr>
          <w:lang w:val="es-ES_tradnl"/>
        </w:rPr>
      </w:pPr>
    </w:p>
    <w:p w14:paraId="0162F7BD" w14:textId="77777777" w:rsidR="0094467F" w:rsidRPr="0065554C" w:rsidRDefault="0094467F" w:rsidP="0094467F">
      <w:pPr>
        <w:rPr>
          <w:lang w:val="es-ES_tradnl"/>
        </w:rPr>
      </w:pPr>
    </w:p>
    <w:p w14:paraId="4CC6C974" w14:textId="77777777" w:rsidR="00160338" w:rsidRPr="0065554C" w:rsidRDefault="0094467F" w:rsidP="0094467F">
      <w:pPr>
        <w:tabs>
          <w:tab w:val="left" w:pos="5530"/>
        </w:tabs>
        <w:rPr>
          <w:lang w:val="es-ES_tradnl"/>
        </w:rPr>
      </w:pPr>
      <w:r w:rsidRPr="0065554C">
        <w:rPr>
          <w:lang w:val="es-ES_tradnl"/>
        </w:rPr>
        <w:tab/>
      </w:r>
    </w:p>
    <w:p w14:paraId="012B3F09" w14:textId="77777777" w:rsidR="00160338" w:rsidRPr="0065554C" w:rsidRDefault="00160338" w:rsidP="00361661">
      <w:pPr>
        <w:pStyle w:val="Captulo"/>
      </w:pPr>
      <w:r w:rsidRPr="0065554C">
        <w:lastRenderedPageBreak/>
        <w:br/>
      </w:r>
      <w:bookmarkStart w:id="707" w:name="_Toc450052208"/>
      <w:bookmarkStart w:id="708" w:name="_Toc312964178"/>
      <w:bookmarkStart w:id="709" w:name="_Toc450201452"/>
      <w:bookmarkStart w:id="710" w:name="_Toc450638614"/>
      <w:bookmarkStart w:id="711" w:name="_Toc479255759"/>
      <w:bookmarkStart w:id="712" w:name="_Toc454100275"/>
      <w:bookmarkStart w:id="713" w:name="_Toc479763809"/>
      <w:bookmarkStart w:id="714" w:name="_Toc509413047"/>
      <w:bookmarkStart w:id="715" w:name="_Toc436433793"/>
      <w:bookmarkStart w:id="716" w:name="_Toc436487889"/>
      <w:r w:rsidRPr="0065554C">
        <w:t>Solución de controversias</w:t>
      </w:r>
      <w:bookmarkEnd w:id="707"/>
      <w:bookmarkEnd w:id="708"/>
      <w:bookmarkEnd w:id="709"/>
      <w:bookmarkEnd w:id="710"/>
      <w:bookmarkEnd w:id="711"/>
      <w:bookmarkEnd w:id="712"/>
      <w:bookmarkEnd w:id="713"/>
      <w:bookmarkEnd w:id="714"/>
    </w:p>
    <w:p w14:paraId="731DFDAE" w14:textId="77777777" w:rsidR="00160338" w:rsidRPr="0065554C" w:rsidRDefault="00160338" w:rsidP="00D42E95">
      <w:pPr>
        <w:pStyle w:val="Seccin"/>
        <w:numPr>
          <w:ilvl w:val="1"/>
          <w:numId w:val="24"/>
        </w:numPr>
      </w:pPr>
      <w:bookmarkStart w:id="717" w:name="_Toc450638613"/>
      <w:bookmarkStart w:id="718" w:name="_Toc479255760"/>
      <w:bookmarkStart w:id="719" w:name="_Toc479763810"/>
      <w:bookmarkStart w:id="720" w:name="_Toc509413048"/>
      <w:r w:rsidRPr="0065554C">
        <w:t>Disposiciones generales</w:t>
      </w:r>
      <w:bookmarkEnd w:id="717"/>
      <w:bookmarkEnd w:id="718"/>
      <w:bookmarkEnd w:id="719"/>
      <w:bookmarkEnd w:id="720"/>
    </w:p>
    <w:p w14:paraId="6099EC01" w14:textId="77777777" w:rsidR="00160338" w:rsidRPr="0065554C" w:rsidRDefault="00160338" w:rsidP="005E311D">
      <w:pPr>
        <w:pStyle w:val="Numeral"/>
      </w:pPr>
      <w:bookmarkStart w:id="721" w:name="_Toc433219659"/>
      <w:bookmarkStart w:id="722" w:name="_Toc436487890"/>
      <w:bookmarkStart w:id="723" w:name="_Toc436433794"/>
      <w:bookmarkStart w:id="724" w:name="_Toc450052209"/>
      <w:bookmarkStart w:id="725" w:name="_Toc312964179"/>
      <w:bookmarkStart w:id="726" w:name="_Toc450201453"/>
      <w:bookmarkEnd w:id="715"/>
      <w:bookmarkEnd w:id="716"/>
      <w:r w:rsidRPr="0065554C">
        <w:t xml:space="preserve">Las controversias que surjan con motivo del desarrollo de la Subasta hasta antes de la emisión del Fallo, serán resueltas por el CENACE a petición del </w:t>
      </w:r>
      <w:r w:rsidR="005C2A0B" w:rsidRPr="0065554C">
        <w:t xml:space="preserve">solicitante </w:t>
      </w:r>
      <w:r w:rsidRPr="0065554C">
        <w:t>de</w:t>
      </w:r>
      <w:r w:rsidR="005C2A0B" w:rsidRPr="0065554C">
        <w:t xml:space="preserve"> la</w:t>
      </w:r>
      <w:r w:rsidRPr="0065554C">
        <w:t xml:space="preserve"> reconsideración que se hubiere planteado por escrito y presentada a través del Sitio.</w:t>
      </w:r>
    </w:p>
    <w:p w14:paraId="0BFFC80B" w14:textId="77777777" w:rsidR="00160338" w:rsidRPr="0065554C" w:rsidRDefault="00160338" w:rsidP="005E311D">
      <w:pPr>
        <w:pStyle w:val="Numeral"/>
      </w:pPr>
      <w:r w:rsidRPr="0065554C">
        <w:t>Las controversias que surjan con motivo de la emisión del Fallo, serán resueltas mediante el recurso de revisión previsto en la Ley Federal de Procedimiento Administrativo.</w:t>
      </w:r>
    </w:p>
    <w:p w14:paraId="6EAA1420" w14:textId="77777777" w:rsidR="00160338" w:rsidRPr="0065554C" w:rsidRDefault="00160338" w:rsidP="00160338">
      <w:pPr>
        <w:pStyle w:val="Seccin"/>
      </w:pPr>
      <w:bookmarkStart w:id="727" w:name="_Toc436487891"/>
      <w:bookmarkStart w:id="728" w:name="_Toc436513894"/>
      <w:bookmarkStart w:id="729" w:name="_Toc436433795"/>
      <w:bookmarkStart w:id="730" w:name="_Toc312964180"/>
      <w:bookmarkStart w:id="731" w:name="_Toc479255761"/>
      <w:bookmarkStart w:id="732" w:name="_Toc454100276"/>
      <w:bookmarkStart w:id="733" w:name="_Toc479763811"/>
      <w:bookmarkStart w:id="734" w:name="_Toc509413049"/>
      <w:r w:rsidRPr="0065554C">
        <w:t>De la reconsideración</w:t>
      </w:r>
      <w:bookmarkEnd w:id="727"/>
      <w:bookmarkEnd w:id="728"/>
      <w:bookmarkEnd w:id="729"/>
      <w:bookmarkEnd w:id="730"/>
      <w:bookmarkEnd w:id="731"/>
      <w:bookmarkEnd w:id="732"/>
      <w:bookmarkEnd w:id="733"/>
      <w:bookmarkEnd w:id="734"/>
    </w:p>
    <w:p w14:paraId="0DD3106E" w14:textId="77777777" w:rsidR="00160338" w:rsidRPr="0065554C" w:rsidRDefault="00160338" w:rsidP="005E311D">
      <w:pPr>
        <w:pStyle w:val="Numeral"/>
      </w:pPr>
      <w:r w:rsidRPr="0065554C">
        <w:t xml:space="preserve">Los </w:t>
      </w:r>
      <w:r w:rsidR="005C2A0B" w:rsidRPr="0065554C">
        <w:t xml:space="preserve">Interesados, </w:t>
      </w:r>
      <w:r w:rsidRPr="0065554C">
        <w:t xml:space="preserve">Licitantes y los Compradores Potenciales podrán solicitar al CENACE la reconsideración de sus actos o resoluciones en esta Subasta siempre y cuando lo hagan por escrito, a través del Sitio y dentro de los cinco días hábiles siguientes a la fecha en que el mismo le haya sido notificado o en que haya tenido conocimiento del mismo. Como excepción a lo anterior, el plazo para solicitar la reconsideración a la emisión de Dictámenes No Favorables será de </w:t>
      </w:r>
      <w:r w:rsidR="00686BBE" w:rsidRPr="0065554C">
        <w:t>tres</w:t>
      </w:r>
      <w:r w:rsidR="00686BBE" w:rsidRPr="0065554C" w:rsidDel="00686BBE">
        <w:t xml:space="preserve"> </w:t>
      </w:r>
      <w:r w:rsidRPr="0065554C">
        <w:t xml:space="preserve">días </w:t>
      </w:r>
      <w:r w:rsidR="008277F7" w:rsidRPr="0065554C">
        <w:t xml:space="preserve">hábiles </w:t>
      </w:r>
      <w:r w:rsidRPr="0065554C">
        <w:t>contados a partir de la notificación del mismo al Licitante.</w:t>
      </w:r>
    </w:p>
    <w:p w14:paraId="752A08BA" w14:textId="77777777" w:rsidR="00160338" w:rsidRPr="0065554C" w:rsidRDefault="00160338" w:rsidP="005E311D">
      <w:pPr>
        <w:pStyle w:val="Numeral"/>
      </w:pPr>
      <w:r w:rsidRPr="0065554C">
        <w:t>La solicitud de reconsideración correspondiente deberá contener lo siguiente:</w:t>
      </w:r>
    </w:p>
    <w:p w14:paraId="689DAD52" w14:textId="77777777" w:rsidR="00160338" w:rsidRPr="0065554C" w:rsidRDefault="00160338" w:rsidP="005E311D">
      <w:pPr>
        <w:pStyle w:val="Inciso"/>
      </w:pPr>
      <w:r w:rsidRPr="0065554C">
        <w:t>acreditaci</w:t>
      </w:r>
      <w:r w:rsidRPr="0065554C">
        <w:rPr>
          <w:rFonts w:ascii="Times New Roman" w:hAnsi="Times New Roman"/>
        </w:rPr>
        <w:t>ó</w:t>
      </w:r>
      <w:r w:rsidRPr="0065554C">
        <w:t>n de la personalidad del promovente;</w:t>
      </w:r>
    </w:p>
    <w:p w14:paraId="040F1668" w14:textId="77777777" w:rsidR="00160338" w:rsidRPr="0065554C" w:rsidRDefault="00160338" w:rsidP="005E311D">
      <w:pPr>
        <w:pStyle w:val="Inciso"/>
      </w:pPr>
      <w:r w:rsidRPr="0065554C">
        <w:t>correo electrónico para recibir notificaciones;</w:t>
      </w:r>
    </w:p>
    <w:p w14:paraId="51DB51AC" w14:textId="77777777" w:rsidR="00160338" w:rsidRPr="0065554C" w:rsidRDefault="00160338" w:rsidP="005E311D">
      <w:pPr>
        <w:pStyle w:val="Inciso"/>
      </w:pPr>
      <w:r w:rsidRPr="0065554C">
        <w:t xml:space="preserve">nombre y domicilio del tercero </w:t>
      </w:r>
      <w:r w:rsidR="009F0F79" w:rsidRPr="0065554C">
        <w:t>I</w:t>
      </w:r>
      <w:r w:rsidRPr="0065554C">
        <w:t>nteresado, en su caso, y si no los conoce, manifestarlo así bajo protesta de decir verdad;</w:t>
      </w:r>
    </w:p>
    <w:p w14:paraId="65D90EAC" w14:textId="77777777" w:rsidR="00160338" w:rsidRPr="0065554C" w:rsidRDefault="00160338" w:rsidP="005E311D">
      <w:pPr>
        <w:pStyle w:val="Inciso"/>
      </w:pPr>
      <w:r w:rsidRPr="0065554C">
        <w:t>tipo de acto o resolución que somete a reconsideración, detallando: (i) lugar y (ii) fecha y hora de ser posible;</w:t>
      </w:r>
    </w:p>
    <w:p w14:paraId="5314B87F" w14:textId="77777777" w:rsidR="00160338" w:rsidRPr="0065554C" w:rsidRDefault="00160338" w:rsidP="005E311D">
      <w:pPr>
        <w:pStyle w:val="Inciso"/>
      </w:pPr>
      <w:r w:rsidRPr="0065554C">
        <w:t xml:space="preserve">bajo protesta de decir verdad, descripción de los </w:t>
      </w:r>
      <w:r w:rsidRPr="0065554C">
        <w:rPr>
          <w:lang w:val="es-MX"/>
        </w:rPr>
        <w:t xml:space="preserve">antecedentes del acto o resolución reclamado, </w:t>
      </w:r>
      <w:r w:rsidRPr="0065554C">
        <w:t>narrándolos</w:t>
      </w:r>
      <w:r w:rsidRPr="0065554C">
        <w:rPr>
          <w:lang w:val="es-MX"/>
        </w:rPr>
        <w:t xml:space="preserve"> de manera clara y cronológica</w:t>
      </w:r>
      <w:r w:rsidRPr="0065554C">
        <w:t>, debiendo señalar, además, los motivos o argumentos de por qué debe reconsiderar CENACE lo</w:t>
      </w:r>
      <w:r w:rsidRPr="0065554C">
        <w:rPr>
          <w:lang w:val="es-MX"/>
        </w:rPr>
        <w:t xml:space="preserve"> reclamado</w:t>
      </w:r>
      <w:r w:rsidRPr="0065554C">
        <w:t>;</w:t>
      </w:r>
    </w:p>
    <w:p w14:paraId="5CF6BC13" w14:textId="77777777" w:rsidR="00160338" w:rsidRPr="0065554C" w:rsidRDefault="00160338" w:rsidP="005E311D">
      <w:pPr>
        <w:pStyle w:val="Inciso"/>
      </w:pPr>
      <w:r w:rsidRPr="0065554C">
        <w:t xml:space="preserve">pretensiones o resultados que espera derivados de la solicitud de reconsideración; </w:t>
      </w:r>
    </w:p>
    <w:p w14:paraId="0099F9E0" w14:textId="77777777" w:rsidR="00160338" w:rsidRPr="0065554C" w:rsidRDefault="00160338" w:rsidP="005E311D">
      <w:pPr>
        <w:pStyle w:val="Inciso"/>
      </w:pPr>
      <w:r w:rsidRPr="0065554C">
        <w:t>copia del documento donde conste el acto objeto de la reconsideración, y</w:t>
      </w:r>
    </w:p>
    <w:p w14:paraId="2E13B91A" w14:textId="77777777" w:rsidR="00160338" w:rsidRPr="0065554C" w:rsidRDefault="00160338" w:rsidP="005E311D">
      <w:pPr>
        <w:pStyle w:val="Inciso"/>
      </w:pPr>
      <w:r w:rsidRPr="0065554C">
        <w:t xml:space="preserve">medios probatorios que acrediten cada uno de los hechos materia de la solicitud de reconsideración, sin que resulte válido como medio de prueba la confesional de servidores públicos del CENACE o de personal de las personas morales que, en su caso, contrate el CENACE para actividades relacionadas con el proceso de la Subasta, </w:t>
      </w:r>
      <w:r w:rsidRPr="0065554C">
        <w:lastRenderedPageBreak/>
        <w:t>quedando a cargo del Licitante los gastos y honorarios, vinculados con la probanza. En su caso, no serán consideradas pruebas que no sean supervenientes.</w:t>
      </w:r>
    </w:p>
    <w:p w14:paraId="45B0F329" w14:textId="77777777" w:rsidR="00160338" w:rsidRPr="0065554C" w:rsidRDefault="00160338" w:rsidP="005E311D">
      <w:pPr>
        <w:pStyle w:val="Numeral"/>
      </w:pPr>
      <w:r w:rsidRPr="0065554C">
        <w:t>La solicitud de reconsideración se tendrá por no interpuesta y se desechará cuando:</w:t>
      </w:r>
    </w:p>
    <w:p w14:paraId="306D53A2" w14:textId="77777777" w:rsidR="00160338" w:rsidRPr="0065554C" w:rsidRDefault="00160338" w:rsidP="005E311D">
      <w:pPr>
        <w:pStyle w:val="Inciso"/>
      </w:pPr>
      <w:r w:rsidRPr="0065554C">
        <w:t>se presente fuera de plazo;</w:t>
      </w:r>
    </w:p>
    <w:p w14:paraId="6D2E4704" w14:textId="77777777" w:rsidR="00160338" w:rsidRPr="0065554C" w:rsidRDefault="00160338" w:rsidP="005E311D">
      <w:pPr>
        <w:pStyle w:val="Inciso"/>
      </w:pPr>
      <w:r w:rsidRPr="0065554C">
        <w:t xml:space="preserve">no se haya acompañado la documentación que acredite la personalidad del solicitante; </w:t>
      </w:r>
    </w:p>
    <w:p w14:paraId="23674423" w14:textId="77777777" w:rsidR="00160338" w:rsidRPr="0065554C" w:rsidRDefault="00160338" w:rsidP="005E311D">
      <w:pPr>
        <w:pStyle w:val="Inciso"/>
      </w:pPr>
      <w:r w:rsidRPr="0065554C">
        <w:t>no presente la información requerida por el CENACE, en su caso, de forma adicional, y</w:t>
      </w:r>
    </w:p>
    <w:p w14:paraId="4BADCAE8" w14:textId="77777777" w:rsidR="00595044" w:rsidRPr="0065554C" w:rsidRDefault="00160338" w:rsidP="00595044">
      <w:pPr>
        <w:pStyle w:val="Inciso"/>
      </w:pPr>
      <w:r w:rsidRPr="0065554C">
        <w:t xml:space="preserve">no esté suscrita </w:t>
      </w:r>
      <w:r w:rsidR="00595044" w:rsidRPr="0065554C">
        <w:t xml:space="preserve">de forma autógrafa </w:t>
      </w:r>
      <w:r w:rsidRPr="0065554C">
        <w:t>por quien deba hacerlo, a menos que la presente suscrita debidamente antes del vencimiento del plazo para interponerlo.</w:t>
      </w:r>
    </w:p>
    <w:p w14:paraId="654DF81A" w14:textId="77777777" w:rsidR="00160338" w:rsidRPr="0065554C" w:rsidRDefault="00160338" w:rsidP="005E311D">
      <w:pPr>
        <w:pStyle w:val="Numeral"/>
      </w:pPr>
      <w:r w:rsidRPr="0065554C">
        <w:t>La solicitud de reconsideración se desechará por improcedente cuando se promueva:</w:t>
      </w:r>
    </w:p>
    <w:p w14:paraId="7B33E4C5" w14:textId="77777777" w:rsidR="00160338" w:rsidRPr="0065554C" w:rsidRDefault="00160338" w:rsidP="005E311D">
      <w:pPr>
        <w:pStyle w:val="Inciso"/>
      </w:pPr>
      <w:r w:rsidRPr="0065554C">
        <w:t>contra actos que sean materia de otra solicitud de reconsideración o recurso y que se encuentre pendiente de resolución, promovido por el mismo solicitante y por el propio acto que se somete a reconsideración;</w:t>
      </w:r>
    </w:p>
    <w:p w14:paraId="10DC45EA" w14:textId="77777777" w:rsidR="00160338" w:rsidRPr="0065554C" w:rsidRDefault="00160338" w:rsidP="005E311D">
      <w:pPr>
        <w:pStyle w:val="Inciso"/>
      </w:pPr>
      <w:r w:rsidRPr="0065554C">
        <w:t>contra actos que no afecten los intereses jurídicos del solicitante;</w:t>
      </w:r>
    </w:p>
    <w:p w14:paraId="6D72EEA8" w14:textId="77777777" w:rsidR="00160338" w:rsidRPr="0065554C" w:rsidRDefault="00160338" w:rsidP="005E311D">
      <w:pPr>
        <w:pStyle w:val="Inciso"/>
      </w:pPr>
      <w:r w:rsidRPr="0065554C">
        <w:t>contra actos consumados de un modo irreparable;</w:t>
      </w:r>
    </w:p>
    <w:p w14:paraId="6D3A9C43" w14:textId="77777777" w:rsidR="00160338" w:rsidRPr="0065554C" w:rsidRDefault="00160338" w:rsidP="005E311D">
      <w:pPr>
        <w:pStyle w:val="Inciso"/>
      </w:pPr>
      <w:r w:rsidRPr="0065554C">
        <w:t>contra actos consentidos expresamente, y</w:t>
      </w:r>
    </w:p>
    <w:p w14:paraId="7C89B2A4" w14:textId="77777777" w:rsidR="00160338" w:rsidRPr="0065554C" w:rsidRDefault="00160338" w:rsidP="005E311D">
      <w:pPr>
        <w:pStyle w:val="Inciso"/>
      </w:pPr>
      <w:r w:rsidRPr="0065554C">
        <w:t>cuando se esté tramitando ante los tribunales algún recurso o defensa legal interpuesto por el promovente, que pueda tener por efecto modificar, revocar o nulificar el acto respectivo.</w:t>
      </w:r>
    </w:p>
    <w:p w14:paraId="49974AF8" w14:textId="77777777" w:rsidR="00160338" w:rsidRPr="0065554C" w:rsidRDefault="00160338" w:rsidP="005E311D">
      <w:pPr>
        <w:pStyle w:val="Numeral"/>
      </w:pPr>
      <w:r w:rsidRPr="0065554C">
        <w:t>La solicitud de reconsideración será sobreseída cuando:</w:t>
      </w:r>
    </w:p>
    <w:p w14:paraId="4C23DCA4" w14:textId="77777777" w:rsidR="00160338" w:rsidRPr="0065554C" w:rsidRDefault="00961DCA" w:rsidP="005E311D">
      <w:pPr>
        <w:pStyle w:val="Inciso"/>
      </w:pPr>
      <w:r w:rsidRPr="0065554C">
        <w:t xml:space="preserve">El </w:t>
      </w:r>
      <w:r w:rsidR="00903C2A" w:rsidRPr="0065554C">
        <w:t>promovente</w:t>
      </w:r>
      <w:r w:rsidR="00160338" w:rsidRPr="0065554C">
        <w:t xml:space="preserve"> se desista expresamente de la misma;</w:t>
      </w:r>
    </w:p>
    <w:p w14:paraId="16D46389" w14:textId="77777777" w:rsidR="00160338" w:rsidRPr="0065554C" w:rsidRDefault="00160338" w:rsidP="005E311D">
      <w:pPr>
        <w:pStyle w:val="Inciso"/>
      </w:pPr>
      <w:r w:rsidRPr="0065554C">
        <w:t>el solicitante fallezca durante el procedimiento, si el acto respectivo sólo afecta su persona;</w:t>
      </w:r>
    </w:p>
    <w:p w14:paraId="6CFB3E15" w14:textId="77777777" w:rsidR="00160338" w:rsidRPr="0065554C" w:rsidRDefault="00160338" w:rsidP="005E311D">
      <w:pPr>
        <w:pStyle w:val="Inciso"/>
      </w:pPr>
      <w:r w:rsidRPr="0065554C">
        <w:t>durante el procedimiento sobrevenga alguna de las causas de improcedencia a que se refiere el numeral anterior;</w:t>
      </w:r>
    </w:p>
    <w:p w14:paraId="7D89981F" w14:textId="77777777" w:rsidR="00160338" w:rsidRPr="0065554C" w:rsidRDefault="00160338" w:rsidP="005E311D">
      <w:pPr>
        <w:pStyle w:val="Inciso"/>
      </w:pPr>
      <w:r w:rsidRPr="0065554C">
        <w:t>hayan cesado los efectos del acto respectivo;</w:t>
      </w:r>
    </w:p>
    <w:p w14:paraId="229DDE11" w14:textId="77777777" w:rsidR="00160338" w:rsidRPr="0065554C" w:rsidRDefault="00903C2A" w:rsidP="005E311D">
      <w:pPr>
        <w:pStyle w:val="Inciso"/>
      </w:pPr>
      <w:r w:rsidRPr="0065554C">
        <w:t>por falta de</w:t>
      </w:r>
      <w:r w:rsidR="00160338" w:rsidRPr="0065554C">
        <w:t xml:space="preserve"> objeto o materia del acto respectivo, y</w:t>
      </w:r>
    </w:p>
    <w:p w14:paraId="1D5CEEF2" w14:textId="77777777" w:rsidR="00160338" w:rsidRPr="0065554C" w:rsidRDefault="00160338" w:rsidP="005E311D">
      <w:pPr>
        <w:pStyle w:val="Inciso"/>
      </w:pPr>
      <w:r w:rsidRPr="0065554C">
        <w:t>no se probare la existencia del acto respectivo.</w:t>
      </w:r>
    </w:p>
    <w:p w14:paraId="1147794E" w14:textId="77777777" w:rsidR="00160338" w:rsidRPr="0065554C" w:rsidRDefault="00160338" w:rsidP="005E311D">
      <w:pPr>
        <w:pStyle w:val="Numeral"/>
      </w:pPr>
      <w:r w:rsidRPr="0065554C">
        <w:t>El procedimiento de la solicitud de reconsideración se substanciará ante el CENACE de conformidad con lo siguiente:</w:t>
      </w:r>
    </w:p>
    <w:p w14:paraId="7E05726F" w14:textId="77777777" w:rsidR="00160338" w:rsidRPr="0065554C" w:rsidRDefault="00160338" w:rsidP="005E311D">
      <w:pPr>
        <w:pStyle w:val="Inciso"/>
      </w:pPr>
      <w:r w:rsidRPr="0065554C">
        <w:t>La solicitud de reconsideración deberá presentarse a través del Sitio en un plazo máximo de cinco días hábiles contados a partir de la fecha en que el participante en la Subasta tenga noticia del acto que haya dado lugar a la solicitud de reconsideración, excepto para los Dictámenes no Favorables</w:t>
      </w:r>
      <w:r w:rsidR="008277F7" w:rsidRPr="0065554C">
        <w:t>,</w:t>
      </w:r>
      <w:r w:rsidRPr="0065554C">
        <w:t xml:space="preserve"> </w:t>
      </w:r>
      <w:r w:rsidR="008277F7" w:rsidRPr="0065554C">
        <w:t xml:space="preserve">cuya solicitud de reconsideración debe </w:t>
      </w:r>
      <w:r w:rsidR="008277F7" w:rsidRPr="0065554C">
        <w:lastRenderedPageBreak/>
        <w:t>presentarse en un plazo máximo</w:t>
      </w:r>
      <w:r w:rsidRPr="0065554C">
        <w:t xml:space="preserve"> tres días</w:t>
      </w:r>
      <w:r w:rsidR="008277F7" w:rsidRPr="0065554C">
        <w:t xml:space="preserve"> hábiles. Cualquier solicitud de reconsideración </w:t>
      </w:r>
      <w:r w:rsidRPr="0065554C">
        <w:t>deberá acompañarse de la copia donde conste el acto objeto de la solicitud de reconsideración. El CENACE acusará de recibido en el acto de entrega, a través del Sitio.</w:t>
      </w:r>
    </w:p>
    <w:p w14:paraId="32040902" w14:textId="77777777" w:rsidR="00160338" w:rsidRPr="0065554C" w:rsidRDefault="00160338" w:rsidP="005E311D">
      <w:pPr>
        <w:pStyle w:val="Inciso"/>
      </w:pPr>
      <w:r w:rsidRPr="0065554C">
        <w:t xml:space="preserve">En un plazo de </w:t>
      </w:r>
      <w:r w:rsidR="00903C2A" w:rsidRPr="0065554C">
        <w:t>cinco</w:t>
      </w:r>
      <w:r w:rsidRPr="0065554C">
        <w:t xml:space="preserve"> días hábiles contados a partir de la generación de dicho acuse de recibido, el CENACE podrá solicitar información adicional, debiendo indicar la naturaleza y la razón del requerimiento de dicha información. El participante en esta Subasta contará con un plazo de cinco días hábiles para presentar la información adicional en el domicilio del CENACE, y recibirá un acuse de recibido electrónico al momento de la entrega.</w:t>
      </w:r>
    </w:p>
    <w:p w14:paraId="5FDA4ECB" w14:textId="77777777" w:rsidR="00160338" w:rsidRPr="0065554C" w:rsidRDefault="00160338" w:rsidP="005E311D">
      <w:pPr>
        <w:pStyle w:val="Inciso"/>
      </w:pPr>
      <w:r w:rsidRPr="0065554C">
        <w:t>El CENACE tendrá diez días hábiles, contados a partir de</w:t>
      </w:r>
      <w:r w:rsidR="00595044" w:rsidRPr="0065554C">
        <w:t>l día hábil siguiente de</w:t>
      </w:r>
      <w:r w:rsidRPr="0065554C">
        <w:t xml:space="preserve"> la fecha en que el participante en esta Subasta haya presentado la solicitud de reconsideración o de la fecha en que haya presentado la información adicional solicitada por el CENACE, para emitir la resolución correspondiente.</w:t>
      </w:r>
    </w:p>
    <w:p w14:paraId="550D9D02" w14:textId="77777777" w:rsidR="00160338" w:rsidRPr="0065554C" w:rsidRDefault="00160338" w:rsidP="005E311D">
      <w:pPr>
        <w:pStyle w:val="Inciso"/>
      </w:pPr>
      <w:r w:rsidRPr="0065554C">
        <w:t xml:space="preserve">El CENACE notificará la resolución correspondiente mediante el Sitio. </w:t>
      </w:r>
      <w:r w:rsidR="00903C2A" w:rsidRPr="0065554C">
        <w:t>La notificación surtirá efectos el día en que hubiere sido realizada.</w:t>
      </w:r>
    </w:p>
    <w:p w14:paraId="064D38B6" w14:textId="77777777" w:rsidR="00160338" w:rsidRPr="0065554C" w:rsidRDefault="00160338" w:rsidP="005E311D">
      <w:pPr>
        <w:pStyle w:val="Numeral"/>
      </w:pPr>
      <w:r w:rsidRPr="0065554C">
        <w:t>Las resoluciones de las solicitudes de reconsideración que dicte el CENACE respecto de las controversias planteadas en este Capítulo podrán:</w:t>
      </w:r>
    </w:p>
    <w:p w14:paraId="5B854F92" w14:textId="77777777" w:rsidR="00160338" w:rsidRPr="0065554C" w:rsidRDefault="00160338" w:rsidP="005E311D">
      <w:pPr>
        <w:pStyle w:val="Inciso"/>
      </w:pPr>
      <w:r w:rsidRPr="0065554C">
        <w:t>ratificar el acto motivo de la solicitud de reconsideración;</w:t>
      </w:r>
    </w:p>
    <w:p w14:paraId="244A6962" w14:textId="77777777" w:rsidR="00160338" w:rsidRPr="0065554C" w:rsidRDefault="00160338" w:rsidP="005E311D">
      <w:pPr>
        <w:pStyle w:val="Inciso"/>
      </w:pPr>
      <w:r w:rsidRPr="0065554C">
        <w:t>reponer el acto motivo de la solicitud de reconsideración, o</w:t>
      </w:r>
    </w:p>
    <w:p w14:paraId="55B9AA2B" w14:textId="77777777" w:rsidR="00160338" w:rsidRPr="0065554C" w:rsidRDefault="00160338" w:rsidP="005E311D">
      <w:pPr>
        <w:pStyle w:val="Inciso"/>
      </w:pPr>
      <w:r w:rsidRPr="0065554C">
        <w:t>desechar el acto motivo de la solicitud de reconsideración, por resultar improcedente.</w:t>
      </w:r>
      <w:bookmarkEnd w:id="721"/>
      <w:bookmarkEnd w:id="722"/>
      <w:bookmarkEnd w:id="723"/>
      <w:bookmarkEnd w:id="724"/>
      <w:bookmarkEnd w:id="725"/>
      <w:bookmarkEnd w:id="726"/>
    </w:p>
    <w:p w14:paraId="4EC21E18" w14:textId="77777777" w:rsidR="00686081" w:rsidRPr="0065554C" w:rsidRDefault="00686081">
      <w:pPr>
        <w:rPr>
          <w:lang w:val="es-ES_tradnl"/>
        </w:rPr>
      </w:pPr>
    </w:p>
    <w:sectPr w:rsidR="00686081" w:rsidRPr="0065554C" w:rsidSect="009F3E59">
      <w:headerReference w:type="default" r:id="rId23"/>
      <w:footerReference w:type="default" r:id="rId24"/>
      <w:pgSz w:w="12240" w:h="15840"/>
      <w:pgMar w:top="1418" w:right="1134" w:bottom="1418" w:left="1134" w:header="284"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9A27C8" w14:textId="77777777" w:rsidR="00DE31BD" w:rsidRDefault="00DE31BD">
      <w:pPr>
        <w:spacing w:before="0" w:after="0"/>
      </w:pPr>
      <w:r>
        <w:separator/>
      </w:r>
    </w:p>
  </w:endnote>
  <w:endnote w:type="continuationSeparator" w:id="0">
    <w:p w14:paraId="1A4F1297" w14:textId="77777777" w:rsidR="00DE31BD" w:rsidRDefault="00DE31BD">
      <w:pPr>
        <w:spacing w:before="0" w:after="0"/>
      </w:pPr>
      <w:r>
        <w:continuationSeparator/>
      </w:r>
    </w:p>
  </w:endnote>
  <w:endnote w:type="continuationNotice" w:id="1">
    <w:p w14:paraId="2C502E58" w14:textId="77777777" w:rsidR="00DE31BD" w:rsidRDefault="00DE31B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egrita">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16695039"/>
      <w:docPartObj>
        <w:docPartGallery w:val="Page Numbers (Bottom of Page)"/>
        <w:docPartUnique/>
      </w:docPartObj>
    </w:sdtPr>
    <w:sdtEndPr>
      <w:rPr>
        <w:sz w:val="16"/>
      </w:rPr>
    </w:sdtEndPr>
    <w:sdtContent>
      <w:p w14:paraId="02BA2F6D" w14:textId="2CFB3165" w:rsidR="00140072" w:rsidRDefault="00140072" w:rsidP="00A958A3">
        <w:pPr>
          <w:pStyle w:val="Piedepgina"/>
          <w:jc w:val="right"/>
        </w:pPr>
        <w:r w:rsidRPr="00A958A3">
          <w:rPr>
            <w:rFonts w:ascii="Verdana" w:hAnsi="Verdana"/>
            <w:b/>
            <w:i/>
            <w:color w:val="7F7F7F" w:themeColor="text1" w:themeTint="80"/>
          </w:rPr>
          <w:fldChar w:fldCharType="begin"/>
        </w:r>
        <w:r w:rsidRPr="004C47F3">
          <w:rPr>
            <w:rFonts w:ascii="Verdana" w:hAnsi="Verdana"/>
            <w:b/>
            <w:i/>
            <w:color w:val="7F7F7F" w:themeColor="text1" w:themeTint="80"/>
          </w:rPr>
          <w:instrText xml:space="preserve"> PAGE   \* MERGEFORMAT </w:instrText>
        </w:r>
        <w:r w:rsidRPr="00A958A3">
          <w:rPr>
            <w:rFonts w:ascii="Verdana" w:hAnsi="Verdana"/>
            <w:b/>
            <w:i/>
            <w:color w:val="7F7F7F" w:themeColor="text1" w:themeTint="80"/>
          </w:rPr>
          <w:fldChar w:fldCharType="separate"/>
        </w:r>
        <w:r w:rsidR="00970105">
          <w:rPr>
            <w:rFonts w:ascii="Verdana" w:hAnsi="Verdana"/>
            <w:b/>
            <w:i/>
            <w:noProof/>
            <w:color w:val="7F7F7F" w:themeColor="text1" w:themeTint="80"/>
          </w:rPr>
          <w:t>ii</w:t>
        </w:r>
        <w:r w:rsidRPr="00A958A3">
          <w:rPr>
            <w:rFonts w:ascii="Verdana" w:hAnsi="Verdana"/>
            <w:b/>
            <w:i/>
            <w:color w:val="7F7F7F" w:themeColor="text1" w:themeTint="8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Verdana" w:hAnsi="Verdana"/>
        <w:b/>
        <w:i/>
        <w:color w:val="7F7F7F" w:themeColor="text1" w:themeTint="80"/>
      </w:rPr>
      <w:id w:val="-1830661644"/>
      <w:docPartObj>
        <w:docPartGallery w:val="Page Numbers (Bottom of Page)"/>
        <w:docPartUnique/>
      </w:docPartObj>
    </w:sdtPr>
    <w:sdtContent>
      <w:sdt>
        <w:sdtPr>
          <w:rPr>
            <w:rFonts w:ascii="Verdana" w:hAnsi="Verdana"/>
            <w:b/>
            <w:i/>
            <w:color w:val="7F7F7F" w:themeColor="text1" w:themeTint="80"/>
          </w:rPr>
          <w:id w:val="1076018125"/>
          <w:docPartObj>
            <w:docPartGallery w:val="Page Numbers (Top of Page)"/>
            <w:docPartUnique/>
          </w:docPartObj>
        </w:sdtPr>
        <w:sdtContent>
          <w:p w14:paraId="2302860E" w14:textId="429BE23B" w:rsidR="00140072" w:rsidRPr="00A958A3" w:rsidRDefault="00140072" w:rsidP="00A958A3">
            <w:pPr>
              <w:pStyle w:val="Piedepgina"/>
              <w:jc w:val="right"/>
              <w:rPr>
                <w:rFonts w:ascii="Verdana" w:hAnsi="Verdana"/>
                <w:b/>
                <w:i/>
                <w:color w:val="7F7F7F" w:themeColor="text1" w:themeTint="80"/>
              </w:rPr>
            </w:pPr>
            <w:r w:rsidRPr="00A958A3">
              <w:rPr>
                <w:rFonts w:ascii="Verdana" w:hAnsi="Verdana"/>
                <w:b/>
                <w:i/>
                <w:color w:val="7F7F7F" w:themeColor="text1" w:themeTint="80"/>
              </w:rPr>
              <w:t xml:space="preserve">Página </w:t>
            </w:r>
            <w:r w:rsidRPr="00A958A3">
              <w:rPr>
                <w:rFonts w:ascii="Verdana" w:hAnsi="Verdana"/>
                <w:b/>
                <w:i/>
                <w:color w:val="7F7F7F" w:themeColor="text1" w:themeTint="80"/>
                <w:sz w:val="24"/>
              </w:rPr>
              <w:fldChar w:fldCharType="begin"/>
            </w:r>
            <w:r w:rsidRPr="00825831">
              <w:rPr>
                <w:rFonts w:ascii="Verdana" w:hAnsi="Verdana"/>
                <w:b/>
                <w:i/>
                <w:color w:val="7F7F7F" w:themeColor="text1" w:themeTint="80"/>
              </w:rPr>
              <w:instrText>PAGE</w:instrText>
            </w:r>
            <w:r w:rsidRPr="00A958A3">
              <w:rPr>
                <w:rFonts w:ascii="Verdana" w:hAnsi="Verdana"/>
                <w:b/>
                <w:i/>
                <w:color w:val="7F7F7F" w:themeColor="text1" w:themeTint="80"/>
                <w:sz w:val="24"/>
              </w:rPr>
              <w:fldChar w:fldCharType="separate"/>
            </w:r>
            <w:r w:rsidR="00970105">
              <w:rPr>
                <w:rFonts w:ascii="Verdana" w:hAnsi="Verdana"/>
                <w:b/>
                <w:i/>
                <w:noProof/>
                <w:color w:val="7F7F7F" w:themeColor="text1" w:themeTint="80"/>
              </w:rPr>
              <w:t>10</w:t>
            </w:r>
            <w:r w:rsidRPr="00A958A3">
              <w:rPr>
                <w:rFonts w:ascii="Verdana" w:hAnsi="Verdana"/>
                <w:b/>
                <w:i/>
                <w:color w:val="7F7F7F" w:themeColor="text1" w:themeTint="80"/>
                <w:sz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77D270" w14:textId="77777777" w:rsidR="00DE31BD" w:rsidRDefault="00DE31BD">
      <w:pPr>
        <w:spacing w:before="0" w:after="0"/>
      </w:pPr>
      <w:r>
        <w:separator/>
      </w:r>
    </w:p>
  </w:footnote>
  <w:footnote w:type="continuationSeparator" w:id="0">
    <w:p w14:paraId="755F9C1C" w14:textId="77777777" w:rsidR="00DE31BD" w:rsidRDefault="00DE31BD">
      <w:pPr>
        <w:spacing w:before="0" w:after="0"/>
      </w:pPr>
      <w:r>
        <w:continuationSeparator/>
      </w:r>
    </w:p>
  </w:footnote>
  <w:footnote w:type="continuationNotice" w:id="1">
    <w:p w14:paraId="209953E6" w14:textId="77777777" w:rsidR="00DE31BD" w:rsidRDefault="00DE31BD">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1"/>
      <w:gridCol w:w="4941"/>
    </w:tblGrid>
    <w:tr w:rsidR="00140072" w:rsidRPr="00377AD6" w14:paraId="40C27023" w14:textId="77777777" w:rsidTr="00870218">
      <w:tc>
        <w:tcPr>
          <w:tcW w:w="5094" w:type="dxa"/>
        </w:tcPr>
        <w:p w14:paraId="5049CB82" w14:textId="77777777" w:rsidR="00140072" w:rsidRPr="00A958A3" w:rsidRDefault="00140072" w:rsidP="00A05C47">
          <w:pPr>
            <w:pStyle w:val="Heather"/>
            <w:jc w:val="left"/>
          </w:pPr>
          <w:r w:rsidRPr="00A958A3">
            <w:rPr>
              <w:noProof/>
              <w:lang w:eastAsia="es-MX"/>
            </w:rPr>
            <w:drawing>
              <wp:inline distT="0" distB="0" distL="0" distR="0" wp14:anchorId="2E194428" wp14:editId="1A588016">
                <wp:extent cx="2097351" cy="929681"/>
                <wp:effectExtent l="0" t="0" r="0" b="3810"/>
                <wp:docPr id="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2285" cy="931868"/>
                        </a:xfrm>
                        <a:prstGeom prst="rect">
                          <a:avLst/>
                        </a:prstGeom>
                        <a:noFill/>
                        <a:ln>
                          <a:noFill/>
                        </a:ln>
                      </pic:spPr>
                    </pic:pic>
                  </a:graphicData>
                </a:graphic>
              </wp:inline>
            </w:drawing>
          </w:r>
        </w:p>
      </w:tc>
      <w:tc>
        <w:tcPr>
          <w:tcW w:w="5094" w:type="dxa"/>
        </w:tcPr>
        <w:p w14:paraId="3A11260D" w14:textId="77777777" w:rsidR="00140072" w:rsidRPr="00377AD6" w:rsidRDefault="00140072" w:rsidP="00A958A3">
          <w:pPr>
            <w:pStyle w:val="Heather"/>
            <w:rPr>
              <w:sz w:val="20"/>
            </w:rPr>
          </w:pPr>
        </w:p>
        <w:p w14:paraId="3EED82CF" w14:textId="77777777" w:rsidR="00140072" w:rsidRPr="00FF54F5" w:rsidRDefault="00140072" w:rsidP="00A958A3">
          <w:pPr>
            <w:pStyle w:val="Heather"/>
            <w:rPr>
              <w:sz w:val="20"/>
              <w:lang w:val="es-MX"/>
            </w:rPr>
          </w:pPr>
          <w:r w:rsidRPr="00FF54F5">
            <w:rPr>
              <w:sz w:val="20"/>
              <w:lang w:val="es-MX"/>
            </w:rPr>
            <w:t>Bases de Licitación SLP-1/201</w:t>
          </w:r>
          <w:r>
            <w:rPr>
              <w:sz w:val="20"/>
              <w:lang w:val="es-MX"/>
            </w:rPr>
            <w:t>8</w:t>
          </w:r>
        </w:p>
        <w:p w14:paraId="38C020FB" w14:textId="3DE1DF07" w:rsidR="00140072" w:rsidRPr="00FF54F5" w:rsidRDefault="00140072" w:rsidP="00377AD6">
          <w:pPr>
            <w:pStyle w:val="Heather"/>
            <w:rPr>
              <w:sz w:val="20"/>
              <w:lang w:val="es-MX"/>
            </w:rPr>
          </w:pPr>
          <w:r>
            <w:rPr>
              <w:sz w:val="20"/>
              <w:lang w:val="es-MX"/>
            </w:rPr>
            <w:t>01 de junio de 2018</w:t>
          </w:r>
        </w:p>
        <w:p w14:paraId="3DBE1899" w14:textId="77777777" w:rsidR="00140072" w:rsidRPr="00FF54F5" w:rsidRDefault="00140072" w:rsidP="00CC1091">
          <w:pPr>
            <w:pStyle w:val="Heather"/>
            <w:rPr>
              <w:sz w:val="20"/>
              <w:lang w:val="es-MX"/>
            </w:rPr>
          </w:pPr>
        </w:p>
      </w:tc>
    </w:tr>
  </w:tbl>
  <w:p w14:paraId="7E54BE49" w14:textId="77777777" w:rsidR="00140072" w:rsidRDefault="00140072" w:rsidP="00FC60C3">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054F7" w14:textId="77777777" w:rsidR="00140072" w:rsidRDefault="00140072">
    <w:pPr>
      <w:pStyle w:val="Encabezado"/>
    </w:pPr>
    <w:r w:rsidRPr="00074714">
      <w:rPr>
        <w:noProof/>
        <w:lang w:eastAsia="es-MX"/>
      </w:rPr>
      <w:drawing>
        <wp:inline distT="0" distB="0" distL="0" distR="0" wp14:anchorId="50367F64" wp14:editId="55C21065">
          <wp:extent cx="2098040" cy="793376"/>
          <wp:effectExtent l="0" t="0" r="10160" b="0"/>
          <wp:docPr id="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98940" cy="793716"/>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3"/>
      <w:gridCol w:w="4999"/>
    </w:tblGrid>
    <w:tr w:rsidR="00140072" w:rsidRPr="00377AD6" w14:paraId="1A633449" w14:textId="77777777" w:rsidTr="00870218">
      <w:tc>
        <w:tcPr>
          <w:tcW w:w="5094" w:type="dxa"/>
        </w:tcPr>
        <w:p w14:paraId="6ACC78B1" w14:textId="77777777" w:rsidR="00140072" w:rsidRDefault="00140072" w:rsidP="00175B2B">
          <w:pPr>
            <w:pStyle w:val="Heather"/>
            <w:jc w:val="left"/>
          </w:pPr>
        </w:p>
      </w:tc>
      <w:tc>
        <w:tcPr>
          <w:tcW w:w="5094" w:type="dxa"/>
        </w:tcPr>
        <w:p w14:paraId="413F07CD" w14:textId="77777777" w:rsidR="00140072" w:rsidRPr="00883621" w:rsidRDefault="00140072" w:rsidP="007033F5">
          <w:pPr>
            <w:pStyle w:val="Heather"/>
            <w:rPr>
              <w:sz w:val="20"/>
              <w:lang w:val="es-MX"/>
            </w:rPr>
          </w:pPr>
        </w:p>
        <w:p w14:paraId="2A1B13B9" w14:textId="77777777" w:rsidR="00140072" w:rsidRPr="00FF54F5" w:rsidRDefault="00140072" w:rsidP="007033F5">
          <w:pPr>
            <w:pStyle w:val="Heather"/>
            <w:rPr>
              <w:sz w:val="20"/>
              <w:lang w:val="es-MX"/>
            </w:rPr>
          </w:pPr>
          <w:r w:rsidRPr="00FF54F5">
            <w:rPr>
              <w:sz w:val="20"/>
              <w:lang w:val="es-MX"/>
            </w:rPr>
            <w:t>Bases de Licitación SLP-1/201</w:t>
          </w:r>
          <w:r>
            <w:rPr>
              <w:sz w:val="20"/>
              <w:lang w:val="es-MX"/>
            </w:rPr>
            <w:t>8</w:t>
          </w:r>
        </w:p>
        <w:p w14:paraId="6BD06849" w14:textId="4454A9F0" w:rsidR="00140072" w:rsidRPr="00FF54F5" w:rsidRDefault="00140072" w:rsidP="007033F5">
          <w:pPr>
            <w:pStyle w:val="Heather"/>
            <w:rPr>
              <w:sz w:val="20"/>
              <w:lang w:val="es-MX"/>
            </w:rPr>
          </w:pPr>
          <w:r>
            <w:rPr>
              <w:sz w:val="20"/>
              <w:lang w:val="es-MX"/>
            </w:rPr>
            <w:t>01 de junio de 2018</w:t>
          </w:r>
        </w:p>
        <w:p w14:paraId="353DAEAF" w14:textId="77777777" w:rsidR="00140072" w:rsidRPr="00FF54F5" w:rsidRDefault="00140072" w:rsidP="00A17E4B">
          <w:pPr>
            <w:pStyle w:val="Heather"/>
            <w:rPr>
              <w:sz w:val="20"/>
              <w:lang w:val="es-MX"/>
            </w:rPr>
          </w:pPr>
        </w:p>
      </w:tc>
    </w:tr>
  </w:tbl>
  <w:p w14:paraId="6AD99DA6" w14:textId="77777777" w:rsidR="00140072" w:rsidRPr="002B4C5D" w:rsidRDefault="00140072" w:rsidP="00FC60C3">
    <w:pPr>
      <w:pStyle w:val="Heather"/>
    </w:pPr>
    <w:r>
      <w:rPr>
        <w:noProof/>
        <w:lang w:eastAsia="es-MX"/>
      </w:rPr>
      <w:drawing>
        <wp:anchor distT="0" distB="0" distL="114300" distR="114300" simplePos="0" relativeHeight="251658240" behindDoc="1" locked="0" layoutInCell="1" allowOverlap="1" wp14:anchorId="10FBD035" wp14:editId="276F28BE">
          <wp:simplePos x="0" y="0"/>
          <wp:positionH relativeFrom="column">
            <wp:posOffset>68000</wp:posOffset>
          </wp:positionH>
          <wp:positionV relativeFrom="paragraph">
            <wp:posOffset>-708495</wp:posOffset>
          </wp:positionV>
          <wp:extent cx="2098040" cy="793376"/>
          <wp:effectExtent l="0" t="0" r="0" b="6985"/>
          <wp:wrapNone/>
          <wp:docPr id="1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98040" cy="793376"/>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981CDEF" w14:textId="77777777" w:rsidR="00140072" w:rsidRDefault="00140072" w:rsidP="00FC60C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B2B7F"/>
    <w:multiLevelType w:val="hybridMultilevel"/>
    <w:tmpl w:val="040C790E"/>
    <w:lvl w:ilvl="0" w:tplc="6DC8EFC6">
      <w:start w:val="1"/>
      <w:numFmt w:val="lowerLetter"/>
      <w:lvlText w:val="%1)"/>
      <w:lvlJc w:val="left"/>
      <w:pPr>
        <w:ind w:left="4505" w:hanging="360"/>
      </w:pPr>
      <w:rPr>
        <w:rFonts w:asciiTheme="minorHAnsi" w:eastAsiaTheme="minorEastAsia" w:hAnsiTheme="minorHAnsi" w:cs="Arial"/>
        <w:b w:val="0"/>
        <w:bCs w:val="0"/>
        <w:i w:val="0"/>
        <w:i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FA033A"/>
    <w:multiLevelType w:val="hybridMultilevel"/>
    <w:tmpl w:val="C3C03522"/>
    <w:lvl w:ilvl="0" w:tplc="73C4B10E">
      <w:start w:val="1"/>
      <w:numFmt w:val="decimal"/>
      <w:pStyle w:val="EjeNumer1er"/>
      <w:lvlText w:val="%1."/>
      <w:lvlJc w:val="left"/>
      <w:pPr>
        <w:ind w:left="720" w:hanging="360"/>
      </w:pPr>
      <w:rPr>
        <w:rFonts w:hint="default"/>
        <w:lang w:val="es-MX"/>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C332FF9"/>
    <w:multiLevelType w:val="hybridMultilevel"/>
    <w:tmpl w:val="47E23FA4"/>
    <w:name w:val="TERMINOS DE SEPARACION LEGAL CFE3"/>
    <w:lvl w:ilvl="0" w:tplc="E160B322">
      <w:start w:val="1"/>
      <w:numFmt w:val="upperLetter"/>
      <w:lvlText w:val="%1)"/>
      <w:lvlJc w:val="left"/>
      <w:pPr>
        <w:ind w:left="2847" w:hanging="360"/>
      </w:pPr>
      <w:rPr>
        <w:rFonts w:hint="default"/>
      </w:rPr>
    </w:lvl>
    <w:lvl w:ilvl="1" w:tplc="04090019" w:tentative="1">
      <w:start w:val="1"/>
      <w:numFmt w:val="lowerLetter"/>
      <w:lvlText w:val="%2."/>
      <w:lvlJc w:val="left"/>
      <w:pPr>
        <w:ind w:left="3567" w:hanging="360"/>
      </w:pPr>
    </w:lvl>
    <w:lvl w:ilvl="2" w:tplc="0409001B" w:tentative="1">
      <w:start w:val="1"/>
      <w:numFmt w:val="lowerRoman"/>
      <w:lvlText w:val="%3."/>
      <w:lvlJc w:val="right"/>
      <w:pPr>
        <w:ind w:left="4287" w:hanging="180"/>
      </w:pPr>
    </w:lvl>
    <w:lvl w:ilvl="3" w:tplc="0409000F" w:tentative="1">
      <w:start w:val="1"/>
      <w:numFmt w:val="decimal"/>
      <w:lvlText w:val="%4."/>
      <w:lvlJc w:val="left"/>
      <w:pPr>
        <w:ind w:left="5007" w:hanging="360"/>
      </w:pPr>
    </w:lvl>
    <w:lvl w:ilvl="4" w:tplc="04090019" w:tentative="1">
      <w:start w:val="1"/>
      <w:numFmt w:val="lowerLetter"/>
      <w:lvlText w:val="%5."/>
      <w:lvlJc w:val="left"/>
      <w:pPr>
        <w:ind w:left="5727" w:hanging="360"/>
      </w:pPr>
    </w:lvl>
    <w:lvl w:ilvl="5" w:tplc="0409001B" w:tentative="1">
      <w:start w:val="1"/>
      <w:numFmt w:val="lowerRoman"/>
      <w:lvlText w:val="%6."/>
      <w:lvlJc w:val="right"/>
      <w:pPr>
        <w:ind w:left="6447" w:hanging="180"/>
      </w:pPr>
    </w:lvl>
    <w:lvl w:ilvl="6" w:tplc="0409000F" w:tentative="1">
      <w:start w:val="1"/>
      <w:numFmt w:val="decimal"/>
      <w:lvlText w:val="%7."/>
      <w:lvlJc w:val="left"/>
      <w:pPr>
        <w:ind w:left="7167" w:hanging="360"/>
      </w:pPr>
    </w:lvl>
    <w:lvl w:ilvl="7" w:tplc="04090019" w:tentative="1">
      <w:start w:val="1"/>
      <w:numFmt w:val="lowerLetter"/>
      <w:lvlText w:val="%8."/>
      <w:lvlJc w:val="left"/>
      <w:pPr>
        <w:ind w:left="7887" w:hanging="360"/>
      </w:pPr>
    </w:lvl>
    <w:lvl w:ilvl="8" w:tplc="0409001B" w:tentative="1">
      <w:start w:val="1"/>
      <w:numFmt w:val="lowerRoman"/>
      <w:lvlText w:val="%9."/>
      <w:lvlJc w:val="right"/>
      <w:pPr>
        <w:ind w:left="8607" w:hanging="180"/>
      </w:pPr>
    </w:lvl>
  </w:abstractNum>
  <w:abstractNum w:abstractNumId="3" w15:restartNumberingAfterBreak="0">
    <w:nsid w:val="16D1098A"/>
    <w:multiLevelType w:val="hybridMultilevel"/>
    <w:tmpl w:val="1B9478D8"/>
    <w:lvl w:ilvl="0" w:tplc="F3EE8014">
      <w:start w:val="1"/>
      <w:numFmt w:val="low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E86330F"/>
    <w:multiLevelType w:val="hybridMultilevel"/>
    <w:tmpl w:val="1D9C3C68"/>
    <w:name w:val="BASES DEL MERCADO23"/>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201A3CEF"/>
    <w:multiLevelType w:val="multilevel"/>
    <w:tmpl w:val="E0B4E208"/>
    <w:lvl w:ilvl="0">
      <w:start w:val="1"/>
      <w:numFmt w:val="decimal"/>
      <w:suff w:val="nothing"/>
      <w:lvlText w:val="CAPÍTULO %1"/>
      <w:lvlJc w:val="left"/>
      <w:pPr>
        <w:ind w:left="3828"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2"/>
      <w:numFmt w:val="decimal"/>
      <w:lvlText w:val="%1.%2"/>
      <w:lvlJc w:val="left"/>
      <w:pPr>
        <w:tabs>
          <w:tab w:val="num" w:pos="851"/>
        </w:tabs>
        <w:ind w:left="851" w:hanging="851"/>
      </w:pPr>
      <w:rPr>
        <w:rFonts w:ascii="Calibri" w:hAnsi="Calibri" w:cs="Times New Roman" w:hint="default"/>
        <w:b/>
        <w:bCs w:val="0"/>
        <w:i w:val="0"/>
        <w:iCs w:val="0"/>
        <w:caps w:val="0"/>
        <w:smallCaps w:val="0"/>
        <w:strike w:val="0"/>
        <w:dstrike w:val="0"/>
        <w:noProof w:val="0"/>
        <w:snapToGrid w:val="0"/>
        <w:vanish w:val="0"/>
        <w:color w:val="000000"/>
        <w:spacing w:val="0"/>
        <w:w w:val="0"/>
        <w:kern w:val="0"/>
        <w:position w:val="0"/>
        <w:sz w:val="28"/>
        <w:szCs w:val="28"/>
        <w:u w:val="none"/>
        <w:vertAlign w:val="baseline"/>
        <w:em w:val="none"/>
      </w:rPr>
    </w:lvl>
    <w:lvl w:ilvl="2">
      <w:start w:val="1"/>
      <w:numFmt w:val="decimal"/>
      <w:lvlText w:val="%1.%2.%3"/>
      <w:lvlJc w:val="left"/>
      <w:pPr>
        <w:tabs>
          <w:tab w:val="num" w:pos="1844"/>
        </w:tabs>
        <w:ind w:left="1844" w:hanging="851"/>
      </w:pPr>
      <w:rPr>
        <w:rFonts w:ascii="Calibri" w:hAnsi="Calibri" w:cs="Times New Roman" w:hint="default"/>
        <w:b/>
        <w:bCs w:val="0"/>
        <w:i w:val="0"/>
        <w:iCs w:val="0"/>
        <w:caps w:val="0"/>
        <w:smallCaps w:val="0"/>
        <w:strike w:val="0"/>
        <w:dstrike w:val="0"/>
        <w:noProof w:val="0"/>
        <w:snapToGrid w:val="0"/>
        <w:vanish w:val="0"/>
        <w:color w:val="000000"/>
        <w:spacing w:val="0"/>
        <w:w w:val="0"/>
        <w:kern w:val="0"/>
        <w:position w:val="0"/>
        <w:sz w:val="22"/>
        <w:szCs w:val="0"/>
        <w:u w:val="none"/>
        <w:vertAlign w:val="baseline"/>
        <w:em w:val="none"/>
      </w:rPr>
    </w:lvl>
    <w:lvl w:ilvl="3">
      <w:start w:val="1"/>
      <w:numFmt w:val="lowerLetter"/>
      <w:lvlText w:val="(%4)"/>
      <w:lvlJc w:val="left"/>
      <w:pPr>
        <w:tabs>
          <w:tab w:val="num" w:pos="2269"/>
        </w:tabs>
        <w:ind w:left="2269" w:hanging="567"/>
      </w:pPr>
      <w:rPr>
        <w:rFonts w:ascii="Calibri" w:hAnsi="Calibri" w:cs="Arial" w:hint="default"/>
        <w:b w:val="0"/>
        <w:bCs w:val="0"/>
        <w:i w:val="0"/>
        <w:iCs w:val="0"/>
        <w:caps w:val="0"/>
        <w:smallCaps w:val="0"/>
        <w:strike w:val="0"/>
        <w:dstrike w:val="0"/>
        <w:vanish w:val="0"/>
        <w:spacing w:val="0"/>
        <w:kern w:val="0"/>
        <w:position w:val="0"/>
        <w:sz w:val="22"/>
        <w:szCs w:val="22"/>
        <w:u w:val="none"/>
        <w:vertAlign w:val="baseline"/>
        <w:em w:val="none"/>
      </w:rPr>
    </w:lvl>
    <w:lvl w:ilvl="4">
      <w:start w:val="1"/>
      <w:numFmt w:val="lowerRoman"/>
      <w:lvlText w:val="(%5)"/>
      <w:lvlJc w:val="left"/>
      <w:pPr>
        <w:ind w:left="4253" w:hanging="567"/>
      </w:pPr>
      <w:rPr>
        <w:rFonts w:ascii="Calibri" w:hAnsi="Calibri" w:hint="default"/>
        <w:b w:val="0"/>
        <w:bCs w:val="0"/>
        <w:i w:val="0"/>
        <w:iCs w:val="0"/>
        <w:caps w:val="0"/>
        <w:smallCaps w:val="0"/>
        <w:strike w:val="0"/>
        <w:dstrike w:val="0"/>
        <w:vanish w:val="0"/>
        <w:spacing w:val="0"/>
        <w:kern w:val="0"/>
        <w:position w:val="0"/>
        <w:sz w:val="22"/>
        <w:szCs w:val="20"/>
        <w:u w:val="none"/>
        <w:vertAlign w:val="baseline"/>
        <w:em w:val="none"/>
      </w:rPr>
    </w:lvl>
    <w:lvl w:ilvl="5">
      <w:start w:val="1"/>
      <w:numFmt w:val="upperLetter"/>
      <w:lvlText w:val="%6."/>
      <w:lvlJc w:val="left"/>
      <w:pPr>
        <w:ind w:left="2552" w:hanging="567"/>
      </w:pPr>
      <w:rPr>
        <w:rFonts w:hint="default"/>
        <w:b w:val="0"/>
        <w:bCs w:val="0"/>
        <w:i w:val="0"/>
        <w:iCs w:val="0"/>
        <w:caps w:val="0"/>
        <w:smallCaps w:val="0"/>
        <w:strike w:val="0"/>
        <w:dstrike w:val="0"/>
        <w:vanish w:val="0"/>
        <w:spacing w:val="0"/>
        <w:kern w:val="0"/>
        <w:position w:val="0"/>
        <w:sz w:val="22"/>
        <w:u w:val="none"/>
        <w:vertAlign w:val="baseline"/>
        <w:em w:val="none"/>
      </w:rPr>
    </w:lvl>
    <w:lvl w:ilvl="6">
      <w:start w:val="1"/>
      <w:numFmt w:val="upperRoman"/>
      <w:lvlText w:val="(%7)"/>
      <w:lvlJc w:val="left"/>
      <w:pPr>
        <w:ind w:left="0" w:firstLine="851"/>
      </w:pPr>
      <w:rPr>
        <w:rFonts w:ascii="Arial" w:hAnsi="Arial" w:cs="Times New Roman" w:hint="default"/>
        <w:b w:val="0"/>
        <w:bCs w:val="0"/>
        <w:i w:val="0"/>
        <w:iCs w:val="0"/>
        <w:caps w:val="0"/>
        <w:smallCaps w:val="0"/>
        <w:strike w:val="0"/>
        <w:dstrike w:val="0"/>
        <w:snapToGrid w:val="0"/>
        <w:vanish w:val="0"/>
        <w:color w:val="000000"/>
        <w:spacing w:val="0"/>
        <w:w w:val="0"/>
        <w:kern w:val="0"/>
        <w:position w:val="0"/>
        <w:sz w:val="20"/>
        <w:szCs w:val="0"/>
        <w:u w:val="none"/>
        <w:vertAlign w:val="baseline"/>
        <w:em w:val="none"/>
      </w:rPr>
    </w:lvl>
    <w:lvl w:ilvl="7">
      <w:start w:val="1"/>
      <w:numFmt w:val="lowerLetter"/>
      <w:lvlText w:val="(%8)"/>
      <w:lvlJc w:val="left"/>
      <w:pPr>
        <w:ind w:left="0" w:firstLine="851"/>
      </w:pPr>
      <w:rPr>
        <w:rFonts w:hint="default"/>
        <w:b w:val="0"/>
      </w:rPr>
    </w:lvl>
    <w:lvl w:ilvl="8">
      <w:start w:val="1"/>
      <w:numFmt w:val="lowerRoman"/>
      <w:lvlText w:val="(%9)"/>
      <w:lvlJc w:val="left"/>
      <w:pPr>
        <w:ind w:left="0" w:firstLine="851"/>
      </w:pPr>
      <w:rPr>
        <w:rFonts w:ascii="Arial" w:hAnsi="Arial" w:cs="Arial" w:hint="default"/>
        <w:b w:val="0"/>
        <w:i w:val="0"/>
        <w:sz w:val="20"/>
      </w:rPr>
    </w:lvl>
  </w:abstractNum>
  <w:abstractNum w:abstractNumId="6" w15:restartNumberingAfterBreak="0">
    <w:nsid w:val="22890CC2"/>
    <w:multiLevelType w:val="multilevel"/>
    <w:tmpl w:val="ADAC1E66"/>
    <w:name w:val="Adicionales TESLCFE"/>
    <w:lvl w:ilvl="0">
      <w:start w:val="1"/>
      <w:numFmt w:val="upperLetter"/>
      <w:pStyle w:val="SSApartado"/>
      <w:lvlText w:val="(%1)"/>
      <w:lvlJc w:val="left"/>
      <w:pPr>
        <w:ind w:left="2835" w:hanging="567"/>
      </w:pPr>
      <w:rPr>
        <w:rFonts w:hint="default"/>
        <w:b w:val="0"/>
        <w:bCs w:val="0"/>
        <w:i w:val="0"/>
        <w:iCs w:val="0"/>
        <w:caps w:val="0"/>
        <w:smallCaps w:val="0"/>
        <w:strike w:val="0"/>
        <w:dstrike w:val="0"/>
        <w:noProof w:val="0"/>
        <w:vanish w:val="0"/>
        <w:spacing w:val="0"/>
        <w:kern w:val="0"/>
        <w:position w:val="0"/>
        <w:u w:val="none"/>
        <w:vertAlign w:val="baseline"/>
        <w:em w:val="none"/>
      </w:rPr>
    </w:lvl>
    <w:lvl w:ilvl="1">
      <w:start w:val="1"/>
      <w:numFmt w:val="upperRoman"/>
      <w:pStyle w:val="SSSubapartado"/>
      <w:lvlText w:val="(%2)"/>
      <w:lvlJc w:val="left"/>
      <w:pPr>
        <w:ind w:left="3402" w:hanging="567"/>
      </w:pPr>
      <w:rPr>
        <w:rFonts w:ascii="Arial" w:hAnsi="Arial" w:hint="default"/>
        <w:b w:val="0"/>
        <w:bCs w:val="0"/>
        <w:i w:val="0"/>
        <w:iCs w:val="0"/>
        <w:caps w:val="0"/>
        <w:smallCaps w:val="0"/>
        <w:strike w:val="0"/>
        <w:dstrike w:val="0"/>
        <w:noProof w:val="0"/>
        <w:vanish w:val="0"/>
        <w:spacing w:val="0"/>
        <w:kern w:val="0"/>
        <w:position w:val="0"/>
        <w:sz w:val="20"/>
        <w:u w:val="none"/>
        <w:vertAlign w:val="baseline"/>
        <w:em w:val="none"/>
      </w:rPr>
    </w:lvl>
    <w:lvl w:ilvl="2">
      <w:start w:val="1"/>
      <w:numFmt w:val="upperRoman"/>
      <w:lvlText w:val="(%3)"/>
      <w:lvlJc w:val="left"/>
      <w:pPr>
        <w:ind w:left="3402" w:hanging="567"/>
      </w:pPr>
      <w:rPr>
        <w:rFonts w:ascii="Arial" w:hAnsi="Arial" w:hint="default"/>
        <w:b w:val="0"/>
        <w:i w:val="0"/>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8A27C9C"/>
    <w:multiLevelType w:val="multilevel"/>
    <w:tmpl w:val="85F0A70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8" w15:restartNumberingAfterBreak="0">
    <w:nsid w:val="2BE07932"/>
    <w:multiLevelType w:val="hybridMultilevel"/>
    <w:tmpl w:val="A5C648DE"/>
    <w:lvl w:ilvl="0" w:tplc="0C0A0017">
      <w:start w:val="1"/>
      <w:numFmt w:val="lowerLetter"/>
      <w:lvlText w:val="%1)"/>
      <w:lvlJc w:val="left"/>
      <w:pPr>
        <w:ind w:left="3600" w:hanging="360"/>
      </w:pPr>
    </w:lvl>
    <w:lvl w:ilvl="1" w:tplc="080A0019" w:tentative="1">
      <w:start w:val="1"/>
      <w:numFmt w:val="lowerLetter"/>
      <w:lvlText w:val="%2."/>
      <w:lvlJc w:val="left"/>
      <w:pPr>
        <w:ind w:left="4320" w:hanging="360"/>
      </w:pPr>
    </w:lvl>
    <w:lvl w:ilvl="2" w:tplc="080A001B" w:tentative="1">
      <w:start w:val="1"/>
      <w:numFmt w:val="lowerRoman"/>
      <w:lvlText w:val="%3."/>
      <w:lvlJc w:val="right"/>
      <w:pPr>
        <w:ind w:left="5040" w:hanging="180"/>
      </w:pPr>
    </w:lvl>
    <w:lvl w:ilvl="3" w:tplc="080A000F" w:tentative="1">
      <w:start w:val="1"/>
      <w:numFmt w:val="decimal"/>
      <w:lvlText w:val="%4."/>
      <w:lvlJc w:val="left"/>
      <w:pPr>
        <w:ind w:left="5760" w:hanging="360"/>
      </w:pPr>
    </w:lvl>
    <w:lvl w:ilvl="4" w:tplc="080A0019" w:tentative="1">
      <w:start w:val="1"/>
      <w:numFmt w:val="lowerLetter"/>
      <w:lvlText w:val="%5."/>
      <w:lvlJc w:val="left"/>
      <w:pPr>
        <w:ind w:left="6480" w:hanging="360"/>
      </w:pPr>
    </w:lvl>
    <w:lvl w:ilvl="5" w:tplc="080A001B" w:tentative="1">
      <w:start w:val="1"/>
      <w:numFmt w:val="lowerRoman"/>
      <w:lvlText w:val="%6."/>
      <w:lvlJc w:val="right"/>
      <w:pPr>
        <w:ind w:left="7200" w:hanging="180"/>
      </w:pPr>
    </w:lvl>
    <w:lvl w:ilvl="6" w:tplc="080A000F" w:tentative="1">
      <w:start w:val="1"/>
      <w:numFmt w:val="decimal"/>
      <w:lvlText w:val="%7."/>
      <w:lvlJc w:val="left"/>
      <w:pPr>
        <w:ind w:left="7920" w:hanging="360"/>
      </w:pPr>
    </w:lvl>
    <w:lvl w:ilvl="7" w:tplc="080A0019" w:tentative="1">
      <w:start w:val="1"/>
      <w:numFmt w:val="lowerLetter"/>
      <w:lvlText w:val="%8."/>
      <w:lvlJc w:val="left"/>
      <w:pPr>
        <w:ind w:left="8640" w:hanging="360"/>
      </w:pPr>
    </w:lvl>
    <w:lvl w:ilvl="8" w:tplc="080A001B" w:tentative="1">
      <w:start w:val="1"/>
      <w:numFmt w:val="lowerRoman"/>
      <w:lvlText w:val="%9."/>
      <w:lvlJc w:val="right"/>
      <w:pPr>
        <w:ind w:left="9360" w:hanging="180"/>
      </w:pPr>
    </w:lvl>
  </w:abstractNum>
  <w:abstractNum w:abstractNumId="9" w15:restartNumberingAfterBreak="0">
    <w:nsid w:val="337019F5"/>
    <w:multiLevelType w:val="multilevel"/>
    <w:tmpl w:val="73F62E34"/>
    <w:styleLink w:val="Estilo2"/>
    <w:lvl w:ilvl="0">
      <w:start w:val="1"/>
      <w:numFmt w:val="upperRoman"/>
      <w:lvlText w:val="%1."/>
      <w:lvlJc w:val="right"/>
      <w:pPr>
        <w:ind w:left="1418" w:hanging="1418"/>
      </w:pPr>
      <w:rPr>
        <w:rFonts w:hint="default"/>
        <w:b/>
        <w:i w:val="0"/>
        <w:color w:val="auto"/>
        <w:sz w:val="24"/>
      </w:rPr>
    </w:lvl>
    <w:lvl w:ilvl="1">
      <w:start w:val="27"/>
      <w:numFmt w:val="decimal"/>
      <w:lvlRestart w:val="0"/>
      <w:lvlText w:val="%2."/>
      <w:lvlJc w:val="left"/>
      <w:pPr>
        <w:tabs>
          <w:tab w:val="num" w:pos="1072"/>
        </w:tabs>
        <w:ind w:left="1072" w:hanging="363"/>
      </w:pPr>
      <w:rPr>
        <w:rFonts w:ascii="Arial" w:hAnsi="Arial" w:cs="Times New Roman" w:hint="default"/>
        <w:b/>
        <w:i w:val="0"/>
        <w:strike w:val="0"/>
        <w:color w:val="auto"/>
        <w:sz w:val="24"/>
      </w:rPr>
    </w:lvl>
    <w:lvl w:ilvl="2">
      <w:start w:val="1"/>
      <w:numFmt w:val="decimal"/>
      <w:lvlText w:val="%2.%3."/>
      <w:lvlJc w:val="left"/>
      <w:pPr>
        <w:tabs>
          <w:tab w:val="num" w:pos="1900"/>
        </w:tabs>
        <w:ind w:left="1900" w:hanging="765"/>
      </w:pPr>
      <w:rPr>
        <w:rFonts w:ascii="Arial Negrita" w:hAnsi="Arial Negrita" w:cs="Times New Roman" w:hint="default"/>
        <w:b/>
        <w:i w:val="0"/>
        <w:color w:val="auto"/>
        <w:sz w:val="24"/>
      </w:rPr>
    </w:lvl>
    <w:lvl w:ilvl="3">
      <w:start w:val="2"/>
      <w:numFmt w:val="decimal"/>
      <w:lvlText w:val="%2.%3.%4."/>
      <w:lvlJc w:val="left"/>
      <w:pPr>
        <w:tabs>
          <w:tab w:val="num" w:pos="2778"/>
        </w:tabs>
        <w:ind w:left="2778" w:hanging="1020"/>
      </w:pPr>
      <w:rPr>
        <w:rFonts w:ascii="Arial" w:hAnsi="Arial" w:cs="Times New Roman" w:hint="default"/>
        <w:b/>
        <w:i w:val="0"/>
        <w:sz w:val="24"/>
        <w:szCs w:val="24"/>
      </w:rPr>
    </w:lvl>
    <w:lvl w:ilvl="4">
      <w:start w:val="1"/>
      <w:numFmt w:val="lowerRoman"/>
      <w:lvlText w:val="%5."/>
      <w:lvlJc w:val="right"/>
      <w:pPr>
        <w:tabs>
          <w:tab w:val="num" w:pos="3289"/>
        </w:tabs>
        <w:ind w:left="3289" w:hanging="341"/>
      </w:pPr>
      <w:rPr>
        <w:rFonts w:cs="Times New Roman" w:hint="default"/>
        <w:b/>
        <w:i w:val="0"/>
        <w:sz w:val="24"/>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0" w15:restartNumberingAfterBreak="0">
    <w:nsid w:val="35792C14"/>
    <w:multiLevelType w:val="multilevel"/>
    <w:tmpl w:val="1EF2A02C"/>
    <w:name w:val="TERMINOS DE SEPARACION LEGAL CFE"/>
    <w:lvl w:ilvl="0">
      <w:start w:val="3"/>
      <w:numFmt w:val="decimal"/>
      <w:suff w:val="nothing"/>
      <w:lvlText w:val="Numeral %1"/>
      <w:lvlJc w:val="left"/>
      <w:pPr>
        <w:ind w:left="0" w:firstLine="0"/>
      </w:pPr>
      <w:rPr>
        <w:rFonts w:hint="default"/>
        <w:b/>
        <w:bCs w:val="0"/>
        <w:i w:val="0"/>
        <w:iCs w:val="0"/>
        <w:caps w:val="0"/>
        <w:smallCaps w:val="0"/>
        <w:strike w:val="0"/>
        <w:dstrike w:val="0"/>
        <w:noProof w:val="0"/>
        <w:snapToGrid w:val="0"/>
        <w:vanish w:val="0"/>
        <w:color w:val="000000"/>
        <w:spacing w:val="0"/>
        <w:w w:val="0"/>
        <w:kern w:val="0"/>
        <w:position w:val="0"/>
        <w:sz w:val="36"/>
        <w:szCs w:val="0"/>
        <w:u w:val="none"/>
        <w:effect w:val="none"/>
        <w:vertAlign w:val="baseline"/>
        <w:em w:val="none"/>
        <w:specVanish w:val="0"/>
      </w:rPr>
    </w:lvl>
    <w:lvl w:ilvl="1">
      <w:start w:val="1"/>
      <w:numFmt w:val="decimal"/>
      <w:lvlText w:val="%1.%2"/>
      <w:lvlJc w:val="left"/>
      <w:pPr>
        <w:ind w:left="851" w:hanging="851"/>
      </w:pPr>
      <w:rPr>
        <w:rFonts w:ascii="Calibri" w:hAnsi="Calibri" w:hint="default"/>
        <w:b/>
        <w:bCs w:val="0"/>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2">
      <w:start w:val="1"/>
      <w:numFmt w:val="decimal"/>
      <w:lvlText w:val="%1.%2.%3"/>
      <w:lvlJc w:val="left"/>
      <w:pPr>
        <w:ind w:left="851" w:hanging="851"/>
      </w:pPr>
      <w:rPr>
        <w:rFonts w:hint="default"/>
        <w:b/>
        <w:bCs w:val="0"/>
        <w:i w:val="0"/>
        <w:iCs w:val="0"/>
        <w:caps w:val="0"/>
        <w:smallCaps w:val="0"/>
        <w:strike w:val="0"/>
        <w:dstrike w:val="0"/>
        <w:noProof w:val="0"/>
        <w:vanish w:val="0"/>
        <w:spacing w:val="0"/>
        <w:kern w:val="0"/>
        <w:position w:val="0"/>
        <w:sz w:val="20"/>
        <w:szCs w:val="20"/>
        <w:u w:val="none"/>
        <w:vertAlign w:val="baseline"/>
        <w:em w:val="none"/>
      </w:rPr>
    </w:lvl>
    <w:lvl w:ilvl="3">
      <w:start w:val="1"/>
      <w:numFmt w:val="lowerLetter"/>
      <w:lvlText w:val="(%4)"/>
      <w:lvlJc w:val="left"/>
      <w:pPr>
        <w:ind w:left="709" w:hanging="567"/>
      </w:pPr>
      <w:rPr>
        <w:rFonts w:ascii="Arial" w:hAnsi="Arial" w:cs="Arial" w:hint="default"/>
        <w:b w:val="0"/>
        <w:bCs w:val="0"/>
        <w:i w:val="0"/>
        <w:iCs w:val="0"/>
        <w:caps w:val="0"/>
        <w:smallCaps w:val="0"/>
        <w:strike w:val="0"/>
        <w:dstrike w:val="0"/>
        <w:noProof w:val="0"/>
        <w:vanish w:val="0"/>
        <w:spacing w:val="0"/>
        <w:kern w:val="0"/>
        <w:position w:val="0"/>
        <w:sz w:val="20"/>
        <w:szCs w:val="20"/>
        <w:u w:val="none"/>
        <w:vertAlign w:val="baseline"/>
        <w:em w:val="none"/>
      </w:rPr>
    </w:lvl>
    <w:lvl w:ilvl="4">
      <w:start w:val="1"/>
      <w:numFmt w:val="lowerRoman"/>
      <w:lvlRestart w:val="1"/>
      <w:lvlText w:val="(%5)"/>
      <w:lvlJc w:val="left"/>
      <w:pPr>
        <w:ind w:left="1985" w:hanging="567"/>
      </w:pPr>
      <w:rPr>
        <w:rFonts w:ascii="Arial" w:hAnsi="Arial" w:cs="Arial" w:hint="default"/>
        <w:b w:val="0"/>
        <w:bCs w:val="0"/>
        <w:i w:val="0"/>
        <w:iCs w:val="0"/>
        <w:caps w:val="0"/>
        <w:smallCaps w:val="0"/>
        <w:strike w:val="0"/>
        <w:dstrike w:val="0"/>
        <w:noProof w:val="0"/>
        <w:vanish w:val="0"/>
        <w:spacing w:val="0"/>
        <w:kern w:val="0"/>
        <w:position w:val="0"/>
        <w:sz w:val="20"/>
        <w:szCs w:val="20"/>
        <w:u w:val="none"/>
        <w:vertAlign w:val="baseline"/>
        <w:em w:val="none"/>
      </w:rPr>
    </w:lvl>
    <w:lvl w:ilvl="5">
      <w:start w:val="1"/>
      <w:numFmt w:val="upperLetter"/>
      <w:lvlRestart w:val="2"/>
      <w:lvlText w:val="(%6)"/>
      <w:lvlJc w:val="left"/>
      <w:pPr>
        <w:ind w:left="2552" w:hanging="567"/>
      </w:pPr>
      <w:rPr>
        <w:rFonts w:ascii="Calibri" w:hAnsi="Calibri" w:hint="default"/>
        <w:b w:val="0"/>
        <w:bCs w:val="0"/>
        <w:i w:val="0"/>
        <w:iCs w:val="0"/>
        <w:caps w:val="0"/>
        <w:smallCaps w:val="0"/>
        <w:strike w:val="0"/>
        <w:dstrike w:val="0"/>
        <w:noProof w:val="0"/>
        <w:vanish w:val="0"/>
        <w:spacing w:val="0"/>
        <w:kern w:val="0"/>
        <w:position w:val="0"/>
        <w:sz w:val="24"/>
        <w:u w:val="none"/>
        <w:vertAlign w:val="baseline"/>
        <w:em w:val="none"/>
      </w:rPr>
    </w:lvl>
    <w:lvl w:ilvl="6">
      <w:start w:val="1"/>
      <w:numFmt w:val="upperRoman"/>
      <w:lvlText w:val="(%7)"/>
      <w:lvlJc w:val="left"/>
      <w:pPr>
        <w:ind w:left="3119" w:hanging="567"/>
      </w:pPr>
      <w:rPr>
        <w:rFonts w:ascii="Arial" w:hAnsi="Arial" w:cs="Times New Roman" w:hint="default"/>
        <w:b w:val="0"/>
        <w:bCs w:val="0"/>
        <w:i w:val="0"/>
        <w:iCs w:val="0"/>
        <w:caps w:val="0"/>
        <w:smallCaps w:val="0"/>
        <w:strike w:val="0"/>
        <w:dstrike w:val="0"/>
        <w:noProof w:val="0"/>
        <w:snapToGrid w:val="0"/>
        <w:vanish w:val="0"/>
        <w:color w:val="000000"/>
        <w:spacing w:val="0"/>
        <w:w w:val="0"/>
        <w:kern w:val="0"/>
        <w:position w:val="0"/>
        <w:sz w:val="20"/>
        <w:szCs w:val="0"/>
        <w:u w:val="none"/>
        <w:vertAlign w:val="baseline"/>
        <w:em w:val="none"/>
      </w:rPr>
    </w:lvl>
    <w:lvl w:ilvl="7">
      <w:start w:val="1"/>
      <w:numFmt w:val="lowerLetter"/>
      <w:lvlText w:val="(%8)"/>
      <w:lvlJc w:val="left"/>
      <w:pPr>
        <w:ind w:left="1701" w:hanging="567"/>
      </w:pPr>
      <w:rPr>
        <w:rFonts w:hint="default"/>
        <w:b w:val="0"/>
      </w:rPr>
    </w:lvl>
    <w:lvl w:ilvl="8">
      <w:start w:val="1"/>
      <w:numFmt w:val="lowerRoman"/>
      <w:lvlText w:val="(%9)"/>
      <w:lvlJc w:val="left"/>
      <w:pPr>
        <w:ind w:left="2268" w:hanging="567"/>
      </w:pPr>
      <w:rPr>
        <w:rFonts w:ascii="Arial" w:hAnsi="Arial" w:cs="Arial" w:hint="default"/>
        <w:b w:val="0"/>
        <w:i w:val="0"/>
        <w:sz w:val="20"/>
      </w:rPr>
    </w:lvl>
  </w:abstractNum>
  <w:abstractNum w:abstractNumId="11" w15:restartNumberingAfterBreak="0">
    <w:nsid w:val="36DA7DD8"/>
    <w:multiLevelType w:val="hybridMultilevel"/>
    <w:tmpl w:val="574A04CC"/>
    <w:lvl w:ilvl="0" w:tplc="0C0A0013">
      <w:start w:val="1"/>
      <w:numFmt w:val="upperRoman"/>
      <w:lvlText w:val="%1."/>
      <w:lvlJc w:val="right"/>
      <w:pPr>
        <w:ind w:left="5535" w:hanging="360"/>
      </w:pPr>
      <w:rPr>
        <w:rFonts w:hint="default"/>
      </w:rPr>
    </w:lvl>
    <w:lvl w:ilvl="1" w:tplc="080A0003" w:tentative="1">
      <w:start w:val="1"/>
      <w:numFmt w:val="bullet"/>
      <w:lvlText w:val="o"/>
      <w:lvlJc w:val="left"/>
      <w:pPr>
        <w:ind w:left="6255" w:hanging="360"/>
      </w:pPr>
      <w:rPr>
        <w:rFonts w:ascii="Courier New" w:hAnsi="Courier New" w:cs="Courier New" w:hint="default"/>
      </w:rPr>
    </w:lvl>
    <w:lvl w:ilvl="2" w:tplc="080A0005" w:tentative="1">
      <w:start w:val="1"/>
      <w:numFmt w:val="bullet"/>
      <w:lvlText w:val=""/>
      <w:lvlJc w:val="left"/>
      <w:pPr>
        <w:ind w:left="6975" w:hanging="360"/>
      </w:pPr>
      <w:rPr>
        <w:rFonts w:ascii="Wingdings" w:hAnsi="Wingdings" w:hint="default"/>
      </w:rPr>
    </w:lvl>
    <w:lvl w:ilvl="3" w:tplc="080A0001" w:tentative="1">
      <w:start w:val="1"/>
      <w:numFmt w:val="bullet"/>
      <w:lvlText w:val=""/>
      <w:lvlJc w:val="left"/>
      <w:pPr>
        <w:ind w:left="7695" w:hanging="360"/>
      </w:pPr>
      <w:rPr>
        <w:rFonts w:ascii="Symbol" w:hAnsi="Symbol" w:hint="default"/>
      </w:rPr>
    </w:lvl>
    <w:lvl w:ilvl="4" w:tplc="080A0003" w:tentative="1">
      <w:start w:val="1"/>
      <w:numFmt w:val="bullet"/>
      <w:lvlText w:val="o"/>
      <w:lvlJc w:val="left"/>
      <w:pPr>
        <w:ind w:left="8415" w:hanging="360"/>
      </w:pPr>
      <w:rPr>
        <w:rFonts w:ascii="Courier New" w:hAnsi="Courier New" w:cs="Courier New" w:hint="default"/>
      </w:rPr>
    </w:lvl>
    <w:lvl w:ilvl="5" w:tplc="080A0005" w:tentative="1">
      <w:start w:val="1"/>
      <w:numFmt w:val="bullet"/>
      <w:lvlText w:val=""/>
      <w:lvlJc w:val="left"/>
      <w:pPr>
        <w:ind w:left="9135" w:hanging="360"/>
      </w:pPr>
      <w:rPr>
        <w:rFonts w:ascii="Wingdings" w:hAnsi="Wingdings" w:hint="default"/>
      </w:rPr>
    </w:lvl>
    <w:lvl w:ilvl="6" w:tplc="080A0001" w:tentative="1">
      <w:start w:val="1"/>
      <w:numFmt w:val="bullet"/>
      <w:lvlText w:val=""/>
      <w:lvlJc w:val="left"/>
      <w:pPr>
        <w:ind w:left="9855" w:hanging="360"/>
      </w:pPr>
      <w:rPr>
        <w:rFonts w:ascii="Symbol" w:hAnsi="Symbol" w:hint="default"/>
      </w:rPr>
    </w:lvl>
    <w:lvl w:ilvl="7" w:tplc="080A0003" w:tentative="1">
      <w:start w:val="1"/>
      <w:numFmt w:val="bullet"/>
      <w:lvlText w:val="o"/>
      <w:lvlJc w:val="left"/>
      <w:pPr>
        <w:ind w:left="10575" w:hanging="360"/>
      </w:pPr>
      <w:rPr>
        <w:rFonts w:ascii="Courier New" w:hAnsi="Courier New" w:cs="Courier New" w:hint="default"/>
      </w:rPr>
    </w:lvl>
    <w:lvl w:ilvl="8" w:tplc="080A0005" w:tentative="1">
      <w:start w:val="1"/>
      <w:numFmt w:val="bullet"/>
      <w:lvlText w:val=""/>
      <w:lvlJc w:val="left"/>
      <w:pPr>
        <w:ind w:left="11295" w:hanging="360"/>
      </w:pPr>
      <w:rPr>
        <w:rFonts w:ascii="Wingdings" w:hAnsi="Wingdings" w:hint="default"/>
      </w:rPr>
    </w:lvl>
  </w:abstractNum>
  <w:abstractNum w:abstractNumId="12" w15:restartNumberingAfterBreak="0">
    <w:nsid w:val="380D06AF"/>
    <w:multiLevelType w:val="multilevel"/>
    <w:tmpl w:val="95E29970"/>
    <w:name w:val="BASES DEL MERCADO2"/>
    <w:lvl w:ilvl="0">
      <w:start w:val="1"/>
      <w:numFmt w:val="decimal"/>
      <w:pStyle w:val="1"/>
      <w:lvlText w:val="%1)"/>
      <w:lvlJc w:val="left"/>
      <w:pPr>
        <w:tabs>
          <w:tab w:val="num" w:pos="1440"/>
        </w:tabs>
        <w:ind w:left="1440" w:hanging="360"/>
      </w:pPr>
      <w:rPr>
        <w:rFonts w:ascii="Arial" w:hAnsi="Arial" w:cs="Times New Roman" w:hint="default"/>
        <w:b w:val="0"/>
        <w:i w:val="0"/>
        <w:strike w:val="0"/>
        <w:dstrike w:val="0"/>
        <w:sz w:val="22"/>
        <w:u w:val="none"/>
        <w:effect w:val="none"/>
      </w:rPr>
    </w:lvl>
    <w:lvl w:ilvl="1">
      <w:start w:val="1"/>
      <w:numFmt w:val="lowerLetter"/>
      <w:lvlText w:val="%2)"/>
      <w:lvlJc w:val="left"/>
      <w:pPr>
        <w:tabs>
          <w:tab w:val="num" w:pos="1800"/>
        </w:tabs>
        <w:ind w:left="1800" w:hanging="360"/>
      </w:pPr>
    </w:lvl>
    <w:lvl w:ilvl="2">
      <w:start w:val="1"/>
      <w:numFmt w:val="lowerRoman"/>
      <w:lvlText w:val="%3)"/>
      <w:lvlJc w:val="left"/>
      <w:pPr>
        <w:tabs>
          <w:tab w:val="num" w:pos="2520"/>
        </w:tabs>
        <w:ind w:left="2160" w:hanging="360"/>
      </w:pPr>
    </w:lvl>
    <w:lvl w:ilvl="3">
      <w:start w:val="1"/>
      <w:numFmt w:val="decimal"/>
      <w:lvlText w:val="(%4)"/>
      <w:lvlJc w:val="left"/>
      <w:pPr>
        <w:tabs>
          <w:tab w:val="num" w:pos="2520"/>
        </w:tabs>
        <w:ind w:left="2520" w:hanging="360"/>
      </w:pPr>
    </w:lvl>
    <w:lvl w:ilvl="4">
      <w:start w:val="1"/>
      <w:numFmt w:val="lowerLetter"/>
      <w:lvlText w:val="(%5)"/>
      <w:lvlJc w:val="left"/>
      <w:pPr>
        <w:tabs>
          <w:tab w:val="num" w:pos="2880"/>
        </w:tabs>
        <w:ind w:left="288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3AAD4EF3"/>
    <w:multiLevelType w:val="multilevel"/>
    <w:tmpl w:val="17487DFC"/>
    <w:lvl w:ilvl="0">
      <w:start w:val="1"/>
      <w:numFmt w:val="upperLetter"/>
      <w:lvlText w:val="(%1)"/>
      <w:lvlJc w:val="left"/>
      <w:pPr>
        <w:ind w:left="4815" w:hanging="567"/>
      </w:pPr>
      <w:rPr>
        <w:rFonts w:hint="default"/>
      </w:rPr>
    </w:lvl>
    <w:lvl w:ilvl="1">
      <w:start w:val="1"/>
      <w:numFmt w:val="lowerLetter"/>
      <w:lvlText w:val="%2."/>
      <w:lvlJc w:val="left"/>
      <w:pPr>
        <w:ind w:left="5382" w:hanging="567"/>
      </w:pPr>
      <w:rPr>
        <w:rFonts w:hint="default"/>
      </w:rPr>
    </w:lvl>
    <w:lvl w:ilvl="2">
      <w:start w:val="1"/>
      <w:numFmt w:val="decimal"/>
      <w:lvlText w:val="%3)"/>
      <w:lvlJc w:val="left"/>
      <w:pPr>
        <w:ind w:left="6408" w:hanging="180"/>
      </w:pPr>
      <w:rPr>
        <w:rFonts w:hint="default"/>
      </w:rPr>
    </w:lvl>
    <w:lvl w:ilvl="3">
      <w:start w:val="1"/>
      <w:numFmt w:val="decimal"/>
      <w:lvlText w:val="%4."/>
      <w:lvlJc w:val="left"/>
      <w:pPr>
        <w:ind w:left="7128" w:hanging="360"/>
      </w:pPr>
      <w:rPr>
        <w:rFonts w:hint="default"/>
      </w:rPr>
    </w:lvl>
    <w:lvl w:ilvl="4">
      <w:start w:val="1"/>
      <w:numFmt w:val="lowerLetter"/>
      <w:lvlText w:val="%5."/>
      <w:lvlJc w:val="left"/>
      <w:pPr>
        <w:ind w:left="7848" w:hanging="360"/>
      </w:pPr>
      <w:rPr>
        <w:rFonts w:hint="default"/>
      </w:rPr>
    </w:lvl>
    <w:lvl w:ilvl="5">
      <w:start w:val="1"/>
      <w:numFmt w:val="lowerRoman"/>
      <w:lvlText w:val="%6."/>
      <w:lvlJc w:val="right"/>
      <w:pPr>
        <w:ind w:left="8568" w:hanging="180"/>
      </w:pPr>
      <w:rPr>
        <w:rFonts w:hint="default"/>
      </w:rPr>
    </w:lvl>
    <w:lvl w:ilvl="6">
      <w:start w:val="1"/>
      <w:numFmt w:val="decimal"/>
      <w:lvlText w:val="%7."/>
      <w:lvlJc w:val="left"/>
      <w:pPr>
        <w:ind w:left="9288" w:hanging="360"/>
      </w:pPr>
      <w:rPr>
        <w:rFonts w:hint="default"/>
      </w:rPr>
    </w:lvl>
    <w:lvl w:ilvl="7">
      <w:start w:val="1"/>
      <w:numFmt w:val="lowerLetter"/>
      <w:lvlText w:val="%8."/>
      <w:lvlJc w:val="left"/>
      <w:pPr>
        <w:ind w:left="10008" w:hanging="360"/>
      </w:pPr>
      <w:rPr>
        <w:rFonts w:hint="default"/>
      </w:rPr>
    </w:lvl>
    <w:lvl w:ilvl="8">
      <w:start w:val="1"/>
      <w:numFmt w:val="lowerRoman"/>
      <w:lvlText w:val="%9."/>
      <w:lvlJc w:val="right"/>
      <w:pPr>
        <w:ind w:left="10728" w:hanging="180"/>
      </w:pPr>
      <w:rPr>
        <w:rFonts w:hint="default"/>
      </w:rPr>
    </w:lvl>
  </w:abstractNum>
  <w:abstractNum w:abstractNumId="14" w15:restartNumberingAfterBreak="0">
    <w:nsid w:val="3CFB392E"/>
    <w:multiLevelType w:val="multilevel"/>
    <w:tmpl w:val="17487DFC"/>
    <w:lvl w:ilvl="0">
      <w:start w:val="1"/>
      <w:numFmt w:val="upperLetter"/>
      <w:lvlText w:val="(%1)"/>
      <w:lvlJc w:val="left"/>
      <w:pPr>
        <w:ind w:left="4815" w:hanging="567"/>
      </w:pPr>
      <w:rPr>
        <w:rFonts w:hint="default"/>
      </w:rPr>
    </w:lvl>
    <w:lvl w:ilvl="1">
      <w:start w:val="1"/>
      <w:numFmt w:val="lowerLetter"/>
      <w:lvlText w:val="%2."/>
      <w:lvlJc w:val="left"/>
      <w:pPr>
        <w:ind w:left="5382" w:hanging="567"/>
      </w:pPr>
      <w:rPr>
        <w:rFonts w:hint="default"/>
      </w:rPr>
    </w:lvl>
    <w:lvl w:ilvl="2">
      <w:start w:val="1"/>
      <w:numFmt w:val="decimal"/>
      <w:lvlText w:val="%3)"/>
      <w:lvlJc w:val="left"/>
      <w:pPr>
        <w:ind w:left="6408" w:hanging="180"/>
      </w:pPr>
      <w:rPr>
        <w:rFonts w:hint="default"/>
      </w:rPr>
    </w:lvl>
    <w:lvl w:ilvl="3">
      <w:start w:val="1"/>
      <w:numFmt w:val="decimal"/>
      <w:lvlText w:val="%4."/>
      <w:lvlJc w:val="left"/>
      <w:pPr>
        <w:ind w:left="7128" w:hanging="360"/>
      </w:pPr>
      <w:rPr>
        <w:rFonts w:hint="default"/>
      </w:rPr>
    </w:lvl>
    <w:lvl w:ilvl="4">
      <w:start w:val="1"/>
      <w:numFmt w:val="lowerLetter"/>
      <w:lvlText w:val="%5."/>
      <w:lvlJc w:val="left"/>
      <w:pPr>
        <w:ind w:left="7848" w:hanging="360"/>
      </w:pPr>
      <w:rPr>
        <w:rFonts w:hint="default"/>
      </w:rPr>
    </w:lvl>
    <w:lvl w:ilvl="5">
      <w:start w:val="1"/>
      <w:numFmt w:val="lowerRoman"/>
      <w:lvlText w:val="%6."/>
      <w:lvlJc w:val="right"/>
      <w:pPr>
        <w:ind w:left="8568" w:hanging="180"/>
      </w:pPr>
      <w:rPr>
        <w:rFonts w:hint="default"/>
      </w:rPr>
    </w:lvl>
    <w:lvl w:ilvl="6">
      <w:start w:val="1"/>
      <w:numFmt w:val="decimal"/>
      <w:lvlText w:val="%7."/>
      <w:lvlJc w:val="left"/>
      <w:pPr>
        <w:ind w:left="9288" w:hanging="360"/>
      </w:pPr>
      <w:rPr>
        <w:rFonts w:hint="default"/>
      </w:rPr>
    </w:lvl>
    <w:lvl w:ilvl="7">
      <w:start w:val="1"/>
      <w:numFmt w:val="lowerLetter"/>
      <w:lvlText w:val="%8."/>
      <w:lvlJc w:val="left"/>
      <w:pPr>
        <w:ind w:left="10008" w:hanging="360"/>
      </w:pPr>
      <w:rPr>
        <w:rFonts w:hint="default"/>
      </w:rPr>
    </w:lvl>
    <w:lvl w:ilvl="8">
      <w:start w:val="1"/>
      <w:numFmt w:val="lowerRoman"/>
      <w:lvlText w:val="%9."/>
      <w:lvlJc w:val="right"/>
      <w:pPr>
        <w:ind w:left="10728" w:hanging="180"/>
      </w:pPr>
      <w:rPr>
        <w:rFonts w:hint="default"/>
      </w:rPr>
    </w:lvl>
  </w:abstractNum>
  <w:abstractNum w:abstractNumId="15" w15:restartNumberingAfterBreak="0">
    <w:nsid w:val="4012435E"/>
    <w:multiLevelType w:val="hybridMultilevel"/>
    <w:tmpl w:val="6F3E1CA4"/>
    <w:lvl w:ilvl="0" w:tplc="0C0A0013">
      <w:start w:val="1"/>
      <w:numFmt w:val="upperRoman"/>
      <w:lvlText w:val="%1."/>
      <w:lvlJc w:val="right"/>
      <w:pPr>
        <w:ind w:left="5535" w:hanging="360"/>
      </w:pPr>
      <w:rPr>
        <w:rFonts w:hint="default"/>
      </w:rPr>
    </w:lvl>
    <w:lvl w:ilvl="1" w:tplc="080A0003" w:tentative="1">
      <w:start w:val="1"/>
      <w:numFmt w:val="bullet"/>
      <w:lvlText w:val="o"/>
      <w:lvlJc w:val="left"/>
      <w:pPr>
        <w:ind w:left="6255" w:hanging="360"/>
      </w:pPr>
      <w:rPr>
        <w:rFonts w:ascii="Courier New" w:hAnsi="Courier New" w:cs="Courier New" w:hint="default"/>
      </w:rPr>
    </w:lvl>
    <w:lvl w:ilvl="2" w:tplc="080A0005" w:tentative="1">
      <w:start w:val="1"/>
      <w:numFmt w:val="bullet"/>
      <w:lvlText w:val=""/>
      <w:lvlJc w:val="left"/>
      <w:pPr>
        <w:ind w:left="6975" w:hanging="360"/>
      </w:pPr>
      <w:rPr>
        <w:rFonts w:ascii="Wingdings" w:hAnsi="Wingdings" w:hint="default"/>
      </w:rPr>
    </w:lvl>
    <w:lvl w:ilvl="3" w:tplc="080A0001" w:tentative="1">
      <w:start w:val="1"/>
      <w:numFmt w:val="bullet"/>
      <w:lvlText w:val=""/>
      <w:lvlJc w:val="left"/>
      <w:pPr>
        <w:ind w:left="7695" w:hanging="360"/>
      </w:pPr>
      <w:rPr>
        <w:rFonts w:ascii="Symbol" w:hAnsi="Symbol" w:hint="default"/>
      </w:rPr>
    </w:lvl>
    <w:lvl w:ilvl="4" w:tplc="080A0003" w:tentative="1">
      <w:start w:val="1"/>
      <w:numFmt w:val="bullet"/>
      <w:lvlText w:val="o"/>
      <w:lvlJc w:val="left"/>
      <w:pPr>
        <w:ind w:left="8415" w:hanging="360"/>
      </w:pPr>
      <w:rPr>
        <w:rFonts w:ascii="Courier New" w:hAnsi="Courier New" w:cs="Courier New" w:hint="default"/>
      </w:rPr>
    </w:lvl>
    <w:lvl w:ilvl="5" w:tplc="080A0005" w:tentative="1">
      <w:start w:val="1"/>
      <w:numFmt w:val="bullet"/>
      <w:lvlText w:val=""/>
      <w:lvlJc w:val="left"/>
      <w:pPr>
        <w:ind w:left="9135" w:hanging="360"/>
      </w:pPr>
      <w:rPr>
        <w:rFonts w:ascii="Wingdings" w:hAnsi="Wingdings" w:hint="default"/>
      </w:rPr>
    </w:lvl>
    <w:lvl w:ilvl="6" w:tplc="080A0001" w:tentative="1">
      <w:start w:val="1"/>
      <w:numFmt w:val="bullet"/>
      <w:lvlText w:val=""/>
      <w:lvlJc w:val="left"/>
      <w:pPr>
        <w:ind w:left="9855" w:hanging="360"/>
      </w:pPr>
      <w:rPr>
        <w:rFonts w:ascii="Symbol" w:hAnsi="Symbol" w:hint="default"/>
      </w:rPr>
    </w:lvl>
    <w:lvl w:ilvl="7" w:tplc="080A0003" w:tentative="1">
      <w:start w:val="1"/>
      <w:numFmt w:val="bullet"/>
      <w:lvlText w:val="o"/>
      <w:lvlJc w:val="left"/>
      <w:pPr>
        <w:ind w:left="10575" w:hanging="360"/>
      </w:pPr>
      <w:rPr>
        <w:rFonts w:ascii="Courier New" w:hAnsi="Courier New" w:cs="Courier New" w:hint="default"/>
      </w:rPr>
    </w:lvl>
    <w:lvl w:ilvl="8" w:tplc="080A0005" w:tentative="1">
      <w:start w:val="1"/>
      <w:numFmt w:val="bullet"/>
      <w:lvlText w:val=""/>
      <w:lvlJc w:val="left"/>
      <w:pPr>
        <w:ind w:left="11295" w:hanging="360"/>
      </w:pPr>
      <w:rPr>
        <w:rFonts w:ascii="Wingdings" w:hAnsi="Wingdings" w:hint="default"/>
      </w:rPr>
    </w:lvl>
  </w:abstractNum>
  <w:abstractNum w:abstractNumId="16" w15:restartNumberingAfterBreak="0">
    <w:nsid w:val="43A13112"/>
    <w:multiLevelType w:val="multilevel"/>
    <w:tmpl w:val="17487DFC"/>
    <w:lvl w:ilvl="0">
      <w:start w:val="1"/>
      <w:numFmt w:val="upperLetter"/>
      <w:lvlText w:val="(%1)"/>
      <w:lvlJc w:val="left"/>
      <w:pPr>
        <w:ind w:left="4815" w:hanging="567"/>
      </w:pPr>
      <w:rPr>
        <w:rFonts w:hint="default"/>
      </w:rPr>
    </w:lvl>
    <w:lvl w:ilvl="1">
      <w:start w:val="1"/>
      <w:numFmt w:val="lowerLetter"/>
      <w:lvlText w:val="%2."/>
      <w:lvlJc w:val="left"/>
      <w:pPr>
        <w:ind w:left="5382" w:hanging="567"/>
      </w:pPr>
      <w:rPr>
        <w:rFonts w:hint="default"/>
      </w:rPr>
    </w:lvl>
    <w:lvl w:ilvl="2">
      <w:start w:val="1"/>
      <w:numFmt w:val="decimal"/>
      <w:lvlText w:val="%3)"/>
      <w:lvlJc w:val="left"/>
      <w:pPr>
        <w:ind w:left="6408" w:hanging="180"/>
      </w:pPr>
      <w:rPr>
        <w:rFonts w:hint="default"/>
      </w:rPr>
    </w:lvl>
    <w:lvl w:ilvl="3">
      <w:start w:val="1"/>
      <w:numFmt w:val="decimal"/>
      <w:lvlText w:val="%4."/>
      <w:lvlJc w:val="left"/>
      <w:pPr>
        <w:ind w:left="7128" w:hanging="360"/>
      </w:pPr>
      <w:rPr>
        <w:rFonts w:hint="default"/>
      </w:rPr>
    </w:lvl>
    <w:lvl w:ilvl="4">
      <w:start w:val="1"/>
      <w:numFmt w:val="lowerLetter"/>
      <w:lvlText w:val="%5."/>
      <w:lvlJc w:val="left"/>
      <w:pPr>
        <w:ind w:left="7848" w:hanging="360"/>
      </w:pPr>
      <w:rPr>
        <w:rFonts w:hint="default"/>
      </w:rPr>
    </w:lvl>
    <w:lvl w:ilvl="5">
      <w:start w:val="1"/>
      <w:numFmt w:val="lowerRoman"/>
      <w:lvlText w:val="%6."/>
      <w:lvlJc w:val="right"/>
      <w:pPr>
        <w:ind w:left="8568" w:hanging="180"/>
      </w:pPr>
      <w:rPr>
        <w:rFonts w:hint="default"/>
      </w:rPr>
    </w:lvl>
    <w:lvl w:ilvl="6">
      <w:start w:val="1"/>
      <w:numFmt w:val="decimal"/>
      <w:lvlText w:val="%7."/>
      <w:lvlJc w:val="left"/>
      <w:pPr>
        <w:ind w:left="9288" w:hanging="360"/>
      </w:pPr>
      <w:rPr>
        <w:rFonts w:hint="default"/>
      </w:rPr>
    </w:lvl>
    <w:lvl w:ilvl="7">
      <w:start w:val="1"/>
      <w:numFmt w:val="lowerLetter"/>
      <w:lvlText w:val="%8."/>
      <w:lvlJc w:val="left"/>
      <w:pPr>
        <w:ind w:left="10008" w:hanging="360"/>
      </w:pPr>
      <w:rPr>
        <w:rFonts w:hint="default"/>
      </w:rPr>
    </w:lvl>
    <w:lvl w:ilvl="8">
      <w:start w:val="1"/>
      <w:numFmt w:val="lowerRoman"/>
      <w:lvlText w:val="%9."/>
      <w:lvlJc w:val="right"/>
      <w:pPr>
        <w:ind w:left="10728" w:hanging="180"/>
      </w:pPr>
      <w:rPr>
        <w:rFonts w:hint="default"/>
      </w:rPr>
    </w:lvl>
  </w:abstractNum>
  <w:abstractNum w:abstractNumId="17" w15:restartNumberingAfterBreak="0">
    <w:nsid w:val="45C442B2"/>
    <w:multiLevelType w:val="hybridMultilevel"/>
    <w:tmpl w:val="E4FE8CCC"/>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 w15:restartNumberingAfterBreak="0">
    <w:nsid w:val="48F23D3C"/>
    <w:multiLevelType w:val="hybridMultilevel"/>
    <w:tmpl w:val="B2B0AD90"/>
    <w:name w:val="TERMINOS DE SEPARACION LEGAL CFE2"/>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503C613E"/>
    <w:multiLevelType w:val="multilevel"/>
    <w:tmpl w:val="812C0B40"/>
    <w:lvl w:ilvl="0">
      <w:start w:val="1"/>
      <w:numFmt w:val="decimal"/>
      <w:pStyle w:val="Captulo"/>
      <w:suff w:val="nothing"/>
      <w:lvlText w:val="CAPÍTULO %1"/>
      <w:lvlJc w:val="left"/>
      <w:pPr>
        <w:ind w:left="5245"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2"/>
      <w:numFmt w:val="decimal"/>
      <w:pStyle w:val="Seccin"/>
      <w:lvlText w:val="%1.%2"/>
      <w:lvlJc w:val="left"/>
      <w:pPr>
        <w:tabs>
          <w:tab w:val="num" w:pos="851"/>
        </w:tabs>
        <w:ind w:left="851" w:hanging="851"/>
      </w:pPr>
      <w:rPr>
        <w:rFonts w:ascii="Calibri" w:hAnsi="Calibri" w:cs="Times New Roman" w:hint="default"/>
        <w:b/>
        <w:bCs w:val="0"/>
        <w:i w:val="0"/>
        <w:iCs w:val="0"/>
        <w:caps w:val="0"/>
        <w:smallCaps w:val="0"/>
        <w:strike w:val="0"/>
        <w:dstrike w:val="0"/>
        <w:noProof w:val="0"/>
        <w:snapToGrid w:val="0"/>
        <w:vanish w:val="0"/>
        <w:color w:val="000000"/>
        <w:spacing w:val="0"/>
        <w:w w:val="0"/>
        <w:kern w:val="0"/>
        <w:position w:val="0"/>
        <w:sz w:val="28"/>
        <w:szCs w:val="28"/>
        <w:u w:val="none"/>
        <w:vertAlign w:val="baseline"/>
        <w:em w:val="none"/>
      </w:rPr>
    </w:lvl>
    <w:lvl w:ilvl="2">
      <w:start w:val="1"/>
      <w:numFmt w:val="decimal"/>
      <w:pStyle w:val="Numeral"/>
      <w:lvlText w:val="%1.%2.%3"/>
      <w:lvlJc w:val="left"/>
      <w:pPr>
        <w:tabs>
          <w:tab w:val="num" w:pos="1844"/>
        </w:tabs>
        <w:ind w:left="1844" w:hanging="851"/>
      </w:pPr>
      <w:rPr>
        <w:rFonts w:ascii="Calibri" w:hAnsi="Calibri" w:cs="Times New Roman" w:hint="default"/>
        <w:b/>
        <w:bCs w:val="0"/>
        <w:i w:val="0"/>
        <w:iCs w:val="0"/>
        <w:caps w:val="0"/>
        <w:smallCaps w:val="0"/>
        <w:strike w:val="0"/>
        <w:dstrike w:val="0"/>
        <w:noProof w:val="0"/>
        <w:snapToGrid w:val="0"/>
        <w:vanish w:val="0"/>
        <w:color w:val="000000"/>
        <w:spacing w:val="0"/>
        <w:w w:val="0"/>
        <w:kern w:val="0"/>
        <w:position w:val="0"/>
        <w:sz w:val="22"/>
        <w:szCs w:val="0"/>
        <w:u w:val="none"/>
        <w:vertAlign w:val="baseline"/>
        <w:em w:val="none"/>
      </w:rPr>
    </w:lvl>
    <w:lvl w:ilvl="3">
      <w:start w:val="1"/>
      <w:numFmt w:val="lowerLetter"/>
      <w:pStyle w:val="Inciso"/>
      <w:lvlText w:val="(%4)"/>
      <w:lvlJc w:val="left"/>
      <w:pPr>
        <w:tabs>
          <w:tab w:val="num" w:pos="2269"/>
        </w:tabs>
        <w:ind w:left="2269" w:hanging="567"/>
      </w:pPr>
      <w:rPr>
        <w:rFonts w:ascii="Calibri" w:hAnsi="Calibri" w:cs="Arial" w:hint="default"/>
        <w:b w:val="0"/>
        <w:bCs w:val="0"/>
        <w:i w:val="0"/>
        <w:iCs w:val="0"/>
        <w:caps w:val="0"/>
        <w:smallCaps w:val="0"/>
        <w:strike w:val="0"/>
        <w:dstrike w:val="0"/>
        <w:vanish w:val="0"/>
        <w:spacing w:val="0"/>
        <w:kern w:val="0"/>
        <w:position w:val="0"/>
        <w:sz w:val="22"/>
        <w:szCs w:val="22"/>
        <w:u w:val="none"/>
        <w:vertAlign w:val="baseline"/>
        <w:em w:val="none"/>
      </w:rPr>
    </w:lvl>
    <w:lvl w:ilvl="4">
      <w:start w:val="1"/>
      <w:numFmt w:val="lowerRoman"/>
      <w:pStyle w:val="Subinciso"/>
      <w:lvlText w:val="(%5)"/>
      <w:lvlJc w:val="left"/>
      <w:pPr>
        <w:ind w:left="4253" w:hanging="567"/>
      </w:pPr>
      <w:rPr>
        <w:rFonts w:ascii="Calibri" w:hAnsi="Calibri" w:hint="default"/>
        <w:b w:val="0"/>
        <w:bCs w:val="0"/>
        <w:i w:val="0"/>
        <w:iCs w:val="0"/>
        <w:caps w:val="0"/>
        <w:smallCaps w:val="0"/>
        <w:strike w:val="0"/>
        <w:dstrike w:val="0"/>
        <w:vanish w:val="0"/>
        <w:spacing w:val="0"/>
        <w:kern w:val="0"/>
        <w:position w:val="0"/>
        <w:sz w:val="22"/>
        <w:szCs w:val="20"/>
        <w:u w:val="none"/>
        <w:vertAlign w:val="baseline"/>
        <w:em w:val="none"/>
      </w:rPr>
    </w:lvl>
    <w:lvl w:ilvl="5">
      <w:start w:val="1"/>
      <w:numFmt w:val="lowerRoman"/>
      <w:lvlText w:val="%6."/>
      <w:lvlJc w:val="right"/>
      <w:pPr>
        <w:ind w:left="2552" w:hanging="567"/>
      </w:pPr>
      <w:rPr>
        <w:rFonts w:hint="default"/>
        <w:b w:val="0"/>
        <w:bCs w:val="0"/>
        <w:i w:val="0"/>
        <w:iCs w:val="0"/>
        <w:caps w:val="0"/>
        <w:smallCaps w:val="0"/>
        <w:strike w:val="0"/>
        <w:dstrike w:val="0"/>
        <w:vanish w:val="0"/>
        <w:spacing w:val="0"/>
        <w:kern w:val="0"/>
        <w:position w:val="0"/>
        <w:sz w:val="22"/>
        <w:u w:val="none"/>
        <w:vertAlign w:val="baseline"/>
        <w:em w:val="none"/>
      </w:rPr>
    </w:lvl>
    <w:lvl w:ilvl="6">
      <w:start w:val="1"/>
      <w:numFmt w:val="upperRoman"/>
      <w:pStyle w:val="Subapartado"/>
      <w:lvlText w:val="(%7)"/>
      <w:lvlJc w:val="left"/>
      <w:pPr>
        <w:ind w:left="0" w:firstLine="851"/>
      </w:pPr>
      <w:rPr>
        <w:rFonts w:asciiTheme="minorHAnsi" w:hAnsiTheme="minorHAnsi" w:cstheme="minorHAnsi" w:hint="default"/>
        <w:b w:val="0"/>
        <w:bCs w:val="0"/>
        <w:i w:val="0"/>
        <w:iCs w:val="0"/>
        <w:caps w:val="0"/>
        <w:smallCaps w:val="0"/>
        <w:strike w:val="0"/>
        <w:dstrike w:val="0"/>
        <w:snapToGrid w:val="0"/>
        <w:vanish w:val="0"/>
        <w:color w:val="000000"/>
        <w:spacing w:val="0"/>
        <w:w w:val="0"/>
        <w:kern w:val="0"/>
        <w:position w:val="0"/>
        <w:sz w:val="20"/>
        <w:szCs w:val="0"/>
        <w:u w:val="none"/>
        <w:vertAlign w:val="baseline"/>
        <w:em w:val="none"/>
      </w:rPr>
    </w:lvl>
    <w:lvl w:ilvl="7">
      <w:start w:val="1"/>
      <w:numFmt w:val="lowerLetter"/>
      <w:pStyle w:val="SSInciso"/>
      <w:lvlText w:val="(%8)"/>
      <w:lvlJc w:val="left"/>
      <w:pPr>
        <w:ind w:left="0" w:firstLine="851"/>
      </w:pPr>
      <w:rPr>
        <w:rFonts w:hint="default"/>
        <w:b w:val="0"/>
      </w:rPr>
    </w:lvl>
    <w:lvl w:ilvl="8">
      <w:start w:val="1"/>
      <w:numFmt w:val="lowerRoman"/>
      <w:pStyle w:val="SSSubinciso"/>
      <w:lvlText w:val="(%9)"/>
      <w:lvlJc w:val="left"/>
      <w:pPr>
        <w:ind w:left="0" w:firstLine="851"/>
      </w:pPr>
      <w:rPr>
        <w:rFonts w:ascii="Arial" w:hAnsi="Arial" w:cs="Arial" w:hint="default"/>
        <w:b w:val="0"/>
        <w:i w:val="0"/>
        <w:sz w:val="20"/>
      </w:rPr>
    </w:lvl>
  </w:abstractNum>
  <w:abstractNum w:abstractNumId="20" w15:restartNumberingAfterBreak="0">
    <w:nsid w:val="52903788"/>
    <w:multiLevelType w:val="hybridMultilevel"/>
    <w:tmpl w:val="4A2E173A"/>
    <w:lvl w:ilvl="0" w:tplc="0C0A0015">
      <w:start w:val="1"/>
      <w:numFmt w:val="upperLetter"/>
      <w:lvlText w:val="%1."/>
      <w:lvlJc w:val="left"/>
      <w:pPr>
        <w:ind w:left="4613" w:hanging="360"/>
      </w:pPr>
    </w:lvl>
    <w:lvl w:ilvl="1" w:tplc="080A0019" w:tentative="1">
      <w:start w:val="1"/>
      <w:numFmt w:val="lowerLetter"/>
      <w:lvlText w:val="%2."/>
      <w:lvlJc w:val="left"/>
      <w:pPr>
        <w:ind w:left="5333" w:hanging="360"/>
      </w:pPr>
    </w:lvl>
    <w:lvl w:ilvl="2" w:tplc="080A001B" w:tentative="1">
      <w:start w:val="1"/>
      <w:numFmt w:val="lowerRoman"/>
      <w:lvlText w:val="%3."/>
      <w:lvlJc w:val="right"/>
      <w:pPr>
        <w:ind w:left="6053" w:hanging="180"/>
      </w:pPr>
    </w:lvl>
    <w:lvl w:ilvl="3" w:tplc="080A000F" w:tentative="1">
      <w:start w:val="1"/>
      <w:numFmt w:val="decimal"/>
      <w:lvlText w:val="%4."/>
      <w:lvlJc w:val="left"/>
      <w:pPr>
        <w:ind w:left="6773" w:hanging="360"/>
      </w:pPr>
    </w:lvl>
    <w:lvl w:ilvl="4" w:tplc="080A0019" w:tentative="1">
      <w:start w:val="1"/>
      <w:numFmt w:val="lowerLetter"/>
      <w:lvlText w:val="%5."/>
      <w:lvlJc w:val="left"/>
      <w:pPr>
        <w:ind w:left="7493" w:hanging="360"/>
      </w:pPr>
    </w:lvl>
    <w:lvl w:ilvl="5" w:tplc="080A001B" w:tentative="1">
      <w:start w:val="1"/>
      <w:numFmt w:val="lowerRoman"/>
      <w:lvlText w:val="%6."/>
      <w:lvlJc w:val="right"/>
      <w:pPr>
        <w:ind w:left="8213" w:hanging="180"/>
      </w:pPr>
    </w:lvl>
    <w:lvl w:ilvl="6" w:tplc="080A000F" w:tentative="1">
      <w:start w:val="1"/>
      <w:numFmt w:val="decimal"/>
      <w:lvlText w:val="%7."/>
      <w:lvlJc w:val="left"/>
      <w:pPr>
        <w:ind w:left="8933" w:hanging="360"/>
      </w:pPr>
    </w:lvl>
    <w:lvl w:ilvl="7" w:tplc="080A0019" w:tentative="1">
      <w:start w:val="1"/>
      <w:numFmt w:val="lowerLetter"/>
      <w:lvlText w:val="%8."/>
      <w:lvlJc w:val="left"/>
      <w:pPr>
        <w:ind w:left="9653" w:hanging="360"/>
      </w:pPr>
    </w:lvl>
    <w:lvl w:ilvl="8" w:tplc="080A001B" w:tentative="1">
      <w:start w:val="1"/>
      <w:numFmt w:val="lowerRoman"/>
      <w:lvlText w:val="%9."/>
      <w:lvlJc w:val="right"/>
      <w:pPr>
        <w:ind w:left="10373" w:hanging="180"/>
      </w:pPr>
    </w:lvl>
  </w:abstractNum>
  <w:abstractNum w:abstractNumId="21" w15:restartNumberingAfterBreak="0">
    <w:nsid w:val="58A31F80"/>
    <w:multiLevelType w:val="hybridMultilevel"/>
    <w:tmpl w:val="6F3E1CA4"/>
    <w:lvl w:ilvl="0" w:tplc="0C0A0013">
      <w:start w:val="1"/>
      <w:numFmt w:val="upperRoman"/>
      <w:lvlText w:val="%1."/>
      <w:lvlJc w:val="right"/>
      <w:pPr>
        <w:ind w:left="5535" w:hanging="360"/>
      </w:pPr>
      <w:rPr>
        <w:rFonts w:hint="default"/>
      </w:rPr>
    </w:lvl>
    <w:lvl w:ilvl="1" w:tplc="080A0003" w:tentative="1">
      <w:start w:val="1"/>
      <w:numFmt w:val="bullet"/>
      <w:lvlText w:val="o"/>
      <w:lvlJc w:val="left"/>
      <w:pPr>
        <w:ind w:left="6255" w:hanging="360"/>
      </w:pPr>
      <w:rPr>
        <w:rFonts w:ascii="Courier New" w:hAnsi="Courier New" w:cs="Courier New" w:hint="default"/>
      </w:rPr>
    </w:lvl>
    <w:lvl w:ilvl="2" w:tplc="080A0005">
      <w:start w:val="1"/>
      <w:numFmt w:val="bullet"/>
      <w:lvlText w:val=""/>
      <w:lvlJc w:val="left"/>
      <w:pPr>
        <w:ind w:left="6975" w:hanging="360"/>
      </w:pPr>
      <w:rPr>
        <w:rFonts w:ascii="Wingdings" w:hAnsi="Wingdings" w:hint="default"/>
      </w:rPr>
    </w:lvl>
    <w:lvl w:ilvl="3" w:tplc="080A0001" w:tentative="1">
      <w:start w:val="1"/>
      <w:numFmt w:val="bullet"/>
      <w:lvlText w:val=""/>
      <w:lvlJc w:val="left"/>
      <w:pPr>
        <w:ind w:left="7695" w:hanging="360"/>
      </w:pPr>
      <w:rPr>
        <w:rFonts w:ascii="Symbol" w:hAnsi="Symbol" w:hint="default"/>
      </w:rPr>
    </w:lvl>
    <w:lvl w:ilvl="4" w:tplc="080A0003" w:tentative="1">
      <w:start w:val="1"/>
      <w:numFmt w:val="bullet"/>
      <w:lvlText w:val="o"/>
      <w:lvlJc w:val="left"/>
      <w:pPr>
        <w:ind w:left="8415" w:hanging="360"/>
      </w:pPr>
      <w:rPr>
        <w:rFonts w:ascii="Courier New" w:hAnsi="Courier New" w:cs="Courier New" w:hint="default"/>
      </w:rPr>
    </w:lvl>
    <w:lvl w:ilvl="5" w:tplc="080A0005" w:tentative="1">
      <w:start w:val="1"/>
      <w:numFmt w:val="bullet"/>
      <w:lvlText w:val=""/>
      <w:lvlJc w:val="left"/>
      <w:pPr>
        <w:ind w:left="9135" w:hanging="360"/>
      </w:pPr>
      <w:rPr>
        <w:rFonts w:ascii="Wingdings" w:hAnsi="Wingdings" w:hint="default"/>
      </w:rPr>
    </w:lvl>
    <w:lvl w:ilvl="6" w:tplc="080A0001" w:tentative="1">
      <w:start w:val="1"/>
      <w:numFmt w:val="bullet"/>
      <w:lvlText w:val=""/>
      <w:lvlJc w:val="left"/>
      <w:pPr>
        <w:ind w:left="9855" w:hanging="360"/>
      </w:pPr>
      <w:rPr>
        <w:rFonts w:ascii="Symbol" w:hAnsi="Symbol" w:hint="default"/>
      </w:rPr>
    </w:lvl>
    <w:lvl w:ilvl="7" w:tplc="080A0003" w:tentative="1">
      <w:start w:val="1"/>
      <w:numFmt w:val="bullet"/>
      <w:lvlText w:val="o"/>
      <w:lvlJc w:val="left"/>
      <w:pPr>
        <w:ind w:left="10575" w:hanging="360"/>
      </w:pPr>
      <w:rPr>
        <w:rFonts w:ascii="Courier New" w:hAnsi="Courier New" w:cs="Courier New" w:hint="default"/>
      </w:rPr>
    </w:lvl>
    <w:lvl w:ilvl="8" w:tplc="080A0005" w:tentative="1">
      <w:start w:val="1"/>
      <w:numFmt w:val="bullet"/>
      <w:lvlText w:val=""/>
      <w:lvlJc w:val="left"/>
      <w:pPr>
        <w:ind w:left="11295" w:hanging="360"/>
      </w:pPr>
      <w:rPr>
        <w:rFonts w:ascii="Wingdings" w:hAnsi="Wingdings" w:hint="default"/>
      </w:rPr>
    </w:lvl>
  </w:abstractNum>
  <w:abstractNum w:abstractNumId="22" w15:restartNumberingAfterBreak="0">
    <w:nsid w:val="58E040AE"/>
    <w:multiLevelType w:val="hybridMultilevel"/>
    <w:tmpl w:val="6F3E1CA4"/>
    <w:lvl w:ilvl="0" w:tplc="0C0A0013">
      <w:start w:val="1"/>
      <w:numFmt w:val="upperRoman"/>
      <w:lvlText w:val="%1."/>
      <w:lvlJc w:val="right"/>
      <w:pPr>
        <w:ind w:left="5535" w:hanging="360"/>
      </w:pPr>
      <w:rPr>
        <w:rFonts w:hint="default"/>
      </w:rPr>
    </w:lvl>
    <w:lvl w:ilvl="1" w:tplc="080A0003" w:tentative="1">
      <w:start w:val="1"/>
      <w:numFmt w:val="bullet"/>
      <w:lvlText w:val="o"/>
      <w:lvlJc w:val="left"/>
      <w:pPr>
        <w:ind w:left="6255" w:hanging="360"/>
      </w:pPr>
      <w:rPr>
        <w:rFonts w:ascii="Courier New" w:hAnsi="Courier New" w:cs="Courier New" w:hint="default"/>
      </w:rPr>
    </w:lvl>
    <w:lvl w:ilvl="2" w:tplc="080A0005">
      <w:start w:val="1"/>
      <w:numFmt w:val="bullet"/>
      <w:lvlText w:val=""/>
      <w:lvlJc w:val="left"/>
      <w:pPr>
        <w:ind w:left="6975" w:hanging="360"/>
      </w:pPr>
      <w:rPr>
        <w:rFonts w:ascii="Wingdings" w:hAnsi="Wingdings" w:hint="default"/>
      </w:rPr>
    </w:lvl>
    <w:lvl w:ilvl="3" w:tplc="080A0001" w:tentative="1">
      <w:start w:val="1"/>
      <w:numFmt w:val="bullet"/>
      <w:lvlText w:val=""/>
      <w:lvlJc w:val="left"/>
      <w:pPr>
        <w:ind w:left="7695" w:hanging="360"/>
      </w:pPr>
      <w:rPr>
        <w:rFonts w:ascii="Symbol" w:hAnsi="Symbol" w:hint="default"/>
      </w:rPr>
    </w:lvl>
    <w:lvl w:ilvl="4" w:tplc="080A0003" w:tentative="1">
      <w:start w:val="1"/>
      <w:numFmt w:val="bullet"/>
      <w:lvlText w:val="o"/>
      <w:lvlJc w:val="left"/>
      <w:pPr>
        <w:ind w:left="8415" w:hanging="360"/>
      </w:pPr>
      <w:rPr>
        <w:rFonts w:ascii="Courier New" w:hAnsi="Courier New" w:cs="Courier New" w:hint="default"/>
      </w:rPr>
    </w:lvl>
    <w:lvl w:ilvl="5" w:tplc="080A0005" w:tentative="1">
      <w:start w:val="1"/>
      <w:numFmt w:val="bullet"/>
      <w:lvlText w:val=""/>
      <w:lvlJc w:val="left"/>
      <w:pPr>
        <w:ind w:left="9135" w:hanging="360"/>
      </w:pPr>
      <w:rPr>
        <w:rFonts w:ascii="Wingdings" w:hAnsi="Wingdings" w:hint="default"/>
      </w:rPr>
    </w:lvl>
    <w:lvl w:ilvl="6" w:tplc="080A0001" w:tentative="1">
      <w:start w:val="1"/>
      <w:numFmt w:val="bullet"/>
      <w:lvlText w:val=""/>
      <w:lvlJc w:val="left"/>
      <w:pPr>
        <w:ind w:left="9855" w:hanging="360"/>
      </w:pPr>
      <w:rPr>
        <w:rFonts w:ascii="Symbol" w:hAnsi="Symbol" w:hint="default"/>
      </w:rPr>
    </w:lvl>
    <w:lvl w:ilvl="7" w:tplc="080A0003" w:tentative="1">
      <w:start w:val="1"/>
      <w:numFmt w:val="bullet"/>
      <w:lvlText w:val="o"/>
      <w:lvlJc w:val="left"/>
      <w:pPr>
        <w:ind w:left="10575" w:hanging="360"/>
      </w:pPr>
      <w:rPr>
        <w:rFonts w:ascii="Courier New" w:hAnsi="Courier New" w:cs="Courier New" w:hint="default"/>
      </w:rPr>
    </w:lvl>
    <w:lvl w:ilvl="8" w:tplc="080A0005" w:tentative="1">
      <w:start w:val="1"/>
      <w:numFmt w:val="bullet"/>
      <w:lvlText w:val=""/>
      <w:lvlJc w:val="left"/>
      <w:pPr>
        <w:ind w:left="11295" w:hanging="360"/>
      </w:pPr>
      <w:rPr>
        <w:rFonts w:ascii="Wingdings" w:hAnsi="Wingdings" w:hint="default"/>
      </w:rPr>
    </w:lvl>
  </w:abstractNum>
  <w:abstractNum w:abstractNumId="23" w15:restartNumberingAfterBreak="0">
    <w:nsid w:val="5D350328"/>
    <w:multiLevelType w:val="multilevel"/>
    <w:tmpl w:val="160C317A"/>
    <w:lvl w:ilvl="0">
      <w:start w:val="1"/>
      <w:numFmt w:val="decimal"/>
      <w:pStyle w:val="Ttulo3"/>
      <w:lvlText w:val="%1."/>
      <w:lvlJc w:val="left"/>
      <w:pPr>
        <w:ind w:left="1080" w:hanging="360"/>
      </w:pPr>
      <w:rPr>
        <w:b/>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24" w15:restartNumberingAfterBreak="0">
    <w:nsid w:val="65425F06"/>
    <w:multiLevelType w:val="hybridMultilevel"/>
    <w:tmpl w:val="FF10D474"/>
    <w:lvl w:ilvl="0" w:tplc="2604EBB4">
      <w:start w:val="1"/>
      <w:numFmt w:val="lowerLetter"/>
      <w:lvlText w:val="(%1)"/>
      <w:lvlJc w:val="left"/>
      <w:pPr>
        <w:ind w:left="1211" w:hanging="360"/>
      </w:pPr>
      <w:rPr>
        <w:rFonts w:hint="default"/>
      </w:rPr>
    </w:lvl>
    <w:lvl w:ilvl="1" w:tplc="080A0019">
      <w:start w:val="1"/>
      <w:numFmt w:val="lowerLetter"/>
      <w:lvlText w:val="%2."/>
      <w:lvlJc w:val="left"/>
      <w:pPr>
        <w:ind w:left="1931" w:hanging="360"/>
      </w:pPr>
    </w:lvl>
    <w:lvl w:ilvl="2" w:tplc="080A001B" w:tentative="1">
      <w:start w:val="1"/>
      <w:numFmt w:val="lowerRoman"/>
      <w:lvlText w:val="%3."/>
      <w:lvlJc w:val="right"/>
      <w:pPr>
        <w:ind w:left="2651" w:hanging="180"/>
      </w:pPr>
    </w:lvl>
    <w:lvl w:ilvl="3" w:tplc="080A000F" w:tentative="1">
      <w:start w:val="1"/>
      <w:numFmt w:val="decimal"/>
      <w:lvlText w:val="%4."/>
      <w:lvlJc w:val="left"/>
      <w:pPr>
        <w:ind w:left="3371" w:hanging="360"/>
      </w:pPr>
    </w:lvl>
    <w:lvl w:ilvl="4" w:tplc="080A0019" w:tentative="1">
      <w:start w:val="1"/>
      <w:numFmt w:val="lowerLetter"/>
      <w:lvlText w:val="%5."/>
      <w:lvlJc w:val="left"/>
      <w:pPr>
        <w:ind w:left="4091" w:hanging="360"/>
      </w:pPr>
    </w:lvl>
    <w:lvl w:ilvl="5" w:tplc="080A001B" w:tentative="1">
      <w:start w:val="1"/>
      <w:numFmt w:val="lowerRoman"/>
      <w:lvlText w:val="%6."/>
      <w:lvlJc w:val="right"/>
      <w:pPr>
        <w:ind w:left="4811" w:hanging="180"/>
      </w:pPr>
    </w:lvl>
    <w:lvl w:ilvl="6" w:tplc="080A000F" w:tentative="1">
      <w:start w:val="1"/>
      <w:numFmt w:val="decimal"/>
      <w:lvlText w:val="%7."/>
      <w:lvlJc w:val="left"/>
      <w:pPr>
        <w:ind w:left="5531" w:hanging="360"/>
      </w:pPr>
    </w:lvl>
    <w:lvl w:ilvl="7" w:tplc="080A0019" w:tentative="1">
      <w:start w:val="1"/>
      <w:numFmt w:val="lowerLetter"/>
      <w:lvlText w:val="%8."/>
      <w:lvlJc w:val="left"/>
      <w:pPr>
        <w:ind w:left="6251" w:hanging="360"/>
      </w:pPr>
    </w:lvl>
    <w:lvl w:ilvl="8" w:tplc="080A001B" w:tentative="1">
      <w:start w:val="1"/>
      <w:numFmt w:val="lowerRoman"/>
      <w:lvlText w:val="%9."/>
      <w:lvlJc w:val="right"/>
      <w:pPr>
        <w:ind w:left="6971" w:hanging="180"/>
      </w:pPr>
    </w:lvl>
  </w:abstractNum>
  <w:abstractNum w:abstractNumId="25" w15:restartNumberingAfterBreak="0">
    <w:nsid w:val="670D383E"/>
    <w:multiLevelType w:val="multilevel"/>
    <w:tmpl w:val="4EF0B5CC"/>
    <w:name w:val="Adicionals para TESLCFE"/>
    <w:lvl w:ilvl="0">
      <w:start w:val="1"/>
      <w:numFmt w:val="upperLetter"/>
      <w:lvlText w:val="(%1)"/>
      <w:lvlJc w:val="left"/>
      <w:pPr>
        <w:ind w:left="4962" w:hanging="567"/>
      </w:pPr>
      <w:rPr>
        <w:rFonts w:hint="default"/>
      </w:rPr>
    </w:lvl>
    <w:lvl w:ilvl="1">
      <w:start w:val="1"/>
      <w:numFmt w:val="upperRoman"/>
      <w:pStyle w:val="SubApartado0"/>
      <w:lvlText w:val="(%2)"/>
      <w:lvlJc w:val="left"/>
      <w:pPr>
        <w:ind w:left="5529" w:hanging="567"/>
      </w:pPr>
      <w:rPr>
        <w:rFonts w:hint="default"/>
      </w:rPr>
    </w:lvl>
    <w:lvl w:ilvl="2">
      <w:start w:val="1"/>
      <w:numFmt w:val="lowerRoman"/>
      <w:lvlText w:val="%3."/>
      <w:lvlJc w:val="right"/>
      <w:pPr>
        <w:ind w:left="6555" w:hanging="180"/>
      </w:pPr>
      <w:rPr>
        <w:rFonts w:hint="default"/>
      </w:rPr>
    </w:lvl>
    <w:lvl w:ilvl="3">
      <w:start w:val="1"/>
      <w:numFmt w:val="decimal"/>
      <w:lvlText w:val="%4."/>
      <w:lvlJc w:val="left"/>
      <w:pPr>
        <w:ind w:left="7275" w:hanging="360"/>
      </w:pPr>
      <w:rPr>
        <w:rFonts w:hint="default"/>
      </w:rPr>
    </w:lvl>
    <w:lvl w:ilvl="4">
      <w:start w:val="1"/>
      <w:numFmt w:val="lowerLetter"/>
      <w:lvlText w:val="%5."/>
      <w:lvlJc w:val="left"/>
      <w:pPr>
        <w:ind w:left="7995" w:hanging="360"/>
      </w:pPr>
      <w:rPr>
        <w:rFonts w:hint="default"/>
      </w:rPr>
    </w:lvl>
    <w:lvl w:ilvl="5">
      <w:start w:val="1"/>
      <w:numFmt w:val="lowerRoman"/>
      <w:lvlText w:val="%6."/>
      <w:lvlJc w:val="right"/>
      <w:pPr>
        <w:ind w:left="8715" w:hanging="180"/>
      </w:pPr>
      <w:rPr>
        <w:rFonts w:hint="default"/>
      </w:rPr>
    </w:lvl>
    <w:lvl w:ilvl="6">
      <w:start w:val="1"/>
      <w:numFmt w:val="decimal"/>
      <w:lvlText w:val="%7."/>
      <w:lvlJc w:val="left"/>
      <w:pPr>
        <w:ind w:left="9435" w:hanging="360"/>
      </w:pPr>
      <w:rPr>
        <w:rFonts w:hint="default"/>
      </w:rPr>
    </w:lvl>
    <w:lvl w:ilvl="7">
      <w:start w:val="1"/>
      <w:numFmt w:val="lowerLetter"/>
      <w:lvlText w:val="%8."/>
      <w:lvlJc w:val="left"/>
      <w:pPr>
        <w:ind w:left="10155" w:hanging="360"/>
      </w:pPr>
      <w:rPr>
        <w:rFonts w:hint="default"/>
      </w:rPr>
    </w:lvl>
    <w:lvl w:ilvl="8">
      <w:start w:val="1"/>
      <w:numFmt w:val="lowerRoman"/>
      <w:lvlText w:val="%9."/>
      <w:lvlJc w:val="right"/>
      <w:pPr>
        <w:ind w:left="10875" w:hanging="180"/>
      </w:pPr>
      <w:rPr>
        <w:rFonts w:hint="default"/>
      </w:rPr>
    </w:lvl>
  </w:abstractNum>
  <w:abstractNum w:abstractNumId="26" w15:restartNumberingAfterBreak="0">
    <w:nsid w:val="77693F42"/>
    <w:multiLevelType w:val="multilevel"/>
    <w:tmpl w:val="17487DFC"/>
    <w:lvl w:ilvl="0">
      <w:start w:val="1"/>
      <w:numFmt w:val="upperLetter"/>
      <w:lvlText w:val="(%1)"/>
      <w:lvlJc w:val="left"/>
      <w:pPr>
        <w:ind w:left="4815" w:hanging="567"/>
      </w:pPr>
      <w:rPr>
        <w:rFonts w:hint="default"/>
      </w:rPr>
    </w:lvl>
    <w:lvl w:ilvl="1">
      <w:start w:val="1"/>
      <w:numFmt w:val="lowerLetter"/>
      <w:lvlText w:val="%2."/>
      <w:lvlJc w:val="left"/>
      <w:pPr>
        <w:ind w:left="5382" w:hanging="567"/>
      </w:pPr>
      <w:rPr>
        <w:rFonts w:hint="default"/>
      </w:rPr>
    </w:lvl>
    <w:lvl w:ilvl="2">
      <w:start w:val="1"/>
      <w:numFmt w:val="decimal"/>
      <w:lvlText w:val="%3)"/>
      <w:lvlJc w:val="left"/>
      <w:pPr>
        <w:ind w:left="6408" w:hanging="180"/>
      </w:pPr>
      <w:rPr>
        <w:rFonts w:hint="default"/>
      </w:rPr>
    </w:lvl>
    <w:lvl w:ilvl="3">
      <w:start w:val="1"/>
      <w:numFmt w:val="decimal"/>
      <w:lvlText w:val="%4."/>
      <w:lvlJc w:val="left"/>
      <w:pPr>
        <w:ind w:left="7128" w:hanging="360"/>
      </w:pPr>
      <w:rPr>
        <w:rFonts w:hint="default"/>
      </w:rPr>
    </w:lvl>
    <w:lvl w:ilvl="4">
      <w:start w:val="1"/>
      <w:numFmt w:val="lowerLetter"/>
      <w:lvlText w:val="%5."/>
      <w:lvlJc w:val="left"/>
      <w:pPr>
        <w:ind w:left="7848" w:hanging="360"/>
      </w:pPr>
      <w:rPr>
        <w:rFonts w:hint="default"/>
      </w:rPr>
    </w:lvl>
    <w:lvl w:ilvl="5">
      <w:start w:val="1"/>
      <w:numFmt w:val="lowerRoman"/>
      <w:lvlText w:val="%6."/>
      <w:lvlJc w:val="right"/>
      <w:pPr>
        <w:ind w:left="8568" w:hanging="180"/>
      </w:pPr>
      <w:rPr>
        <w:rFonts w:hint="default"/>
      </w:rPr>
    </w:lvl>
    <w:lvl w:ilvl="6">
      <w:start w:val="1"/>
      <w:numFmt w:val="decimal"/>
      <w:lvlText w:val="%7."/>
      <w:lvlJc w:val="left"/>
      <w:pPr>
        <w:ind w:left="9288" w:hanging="360"/>
      </w:pPr>
      <w:rPr>
        <w:rFonts w:hint="default"/>
      </w:rPr>
    </w:lvl>
    <w:lvl w:ilvl="7">
      <w:start w:val="1"/>
      <w:numFmt w:val="lowerLetter"/>
      <w:lvlText w:val="%8."/>
      <w:lvlJc w:val="left"/>
      <w:pPr>
        <w:ind w:left="10008" w:hanging="360"/>
      </w:pPr>
      <w:rPr>
        <w:rFonts w:hint="default"/>
      </w:rPr>
    </w:lvl>
    <w:lvl w:ilvl="8">
      <w:start w:val="1"/>
      <w:numFmt w:val="lowerRoman"/>
      <w:lvlText w:val="%9."/>
      <w:lvlJc w:val="right"/>
      <w:pPr>
        <w:ind w:left="10728" w:hanging="180"/>
      </w:pPr>
      <w:rPr>
        <w:rFonts w:hint="default"/>
      </w:rPr>
    </w:lvl>
  </w:abstractNum>
  <w:abstractNum w:abstractNumId="27" w15:restartNumberingAfterBreak="0">
    <w:nsid w:val="78163EB8"/>
    <w:multiLevelType w:val="multilevel"/>
    <w:tmpl w:val="CA384ED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7E3B6AF4"/>
    <w:multiLevelType w:val="hybridMultilevel"/>
    <w:tmpl w:val="A1D641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25"/>
  </w:num>
  <w:num w:numId="3">
    <w:abstractNumId w:val="6"/>
  </w:num>
  <w:num w:numId="4">
    <w:abstractNumId w:val="19"/>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num>
  <w:num w:numId="11">
    <w:abstractNumId w:val="1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num>
  <w:num w:numId="16">
    <w:abstractNumId w:val="1"/>
    <w:lvlOverride w:ilvl="0">
      <w:startOverride w:val="1"/>
    </w:lvlOverride>
  </w:num>
  <w:num w:numId="17">
    <w:abstractNumId w:val="9"/>
  </w:num>
  <w:num w:numId="18">
    <w:abstractNumId w:val="7"/>
  </w:num>
  <w:num w:numId="19">
    <w:abstractNumId w:val="0"/>
  </w:num>
  <w:num w:numId="20">
    <w:abstractNumId w:val="28"/>
  </w:num>
  <w:num w:numId="21">
    <w:abstractNumId w:val="17"/>
  </w:num>
  <w:num w:numId="22">
    <w:abstractNumId w:val="1"/>
  </w:num>
  <w:num w:numId="23">
    <w:abstractNumId w:val="1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num>
  <w:num w:numId="28">
    <w:abstractNumId w:val="8"/>
  </w:num>
  <w:num w:numId="29">
    <w:abstractNumId w:val="5"/>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num>
  <w:num w:numId="32">
    <w:abstractNumId w:val="11"/>
  </w:num>
  <w:num w:numId="33">
    <w:abstractNumId w:val="15"/>
  </w:num>
  <w:num w:numId="34">
    <w:abstractNumId w:val="14"/>
  </w:num>
  <w:num w:numId="35">
    <w:abstractNumId w:val="22"/>
  </w:num>
  <w:num w:numId="36">
    <w:abstractNumId w:val="21"/>
  </w:num>
  <w:num w:numId="37">
    <w:abstractNumId w:val="20"/>
  </w:num>
  <w:num w:numId="38">
    <w:abstractNumId w:val="13"/>
  </w:num>
  <w:num w:numId="39">
    <w:abstractNumId w:val="26"/>
  </w:num>
  <w:num w:numId="40">
    <w:abstractNumId w:val="16"/>
  </w:num>
  <w:num w:numId="41">
    <w:abstractNumId w:val="3"/>
  </w:num>
  <w:num w:numId="4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
    <w:lvlOverride w:ilvl="0">
      <w:startOverride w:val="1"/>
    </w:lvlOverride>
  </w:num>
  <w:num w:numId="44">
    <w:abstractNumId w:val="1"/>
  </w:num>
  <w:num w:numId="45">
    <w:abstractNumId w:val="1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activeWritingStyle w:appName="MSWord" w:lang="es-MX" w:vendorID="64" w:dllVersion="6" w:nlCheck="1" w:checkStyle="0"/>
  <w:activeWritingStyle w:appName="MSWord" w:lang="es-ES_tradnl" w:vendorID="64" w:dllVersion="6" w:nlCheck="1" w:checkStyle="0"/>
  <w:activeWritingStyle w:appName="MSWord" w:lang="es-ES" w:vendorID="64" w:dllVersion="6" w:nlCheck="1" w:checkStyle="0"/>
  <w:activeWritingStyle w:appName="MSWord" w:lang="en-US" w:vendorID="64" w:dllVersion="6" w:nlCheck="1" w:checkStyle="0"/>
  <w:activeWritingStyle w:appName="MSWord" w:lang="es-ES_tradnl" w:vendorID="64" w:dllVersion="0" w:nlCheck="1" w:checkStyle="0"/>
  <w:activeWritingStyle w:appName="MSWord" w:lang="es-MX" w:vendorID="64" w:dllVersion="0" w:nlCheck="1" w:checkStyle="0"/>
  <w:activeWritingStyle w:appName="MSWord" w:lang="es-ES" w:vendorID="64" w:dllVersion="0" w:nlCheck="1" w:checkStyle="0"/>
  <w:activeWritingStyle w:appName="MSWord" w:lang="en-US" w:vendorID="64" w:dllVersion="0" w:nlCheck="1" w:checkStyle="0"/>
  <w:trackRevisions/>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0338"/>
    <w:rsid w:val="00000304"/>
    <w:rsid w:val="00000382"/>
    <w:rsid w:val="0000071E"/>
    <w:rsid w:val="00001F02"/>
    <w:rsid w:val="00002307"/>
    <w:rsid w:val="00002594"/>
    <w:rsid w:val="000028E5"/>
    <w:rsid w:val="00002CE2"/>
    <w:rsid w:val="000035E3"/>
    <w:rsid w:val="00003932"/>
    <w:rsid w:val="000042B8"/>
    <w:rsid w:val="000048DC"/>
    <w:rsid w:val="00004CB5"/>
    <w:rsid w:val="00005228"/>
    <w:rsid w:val="000053B1"/>
    <w:rsid w:val="000054DB"/>
    <w:rsid w:val="0000559E"/>
    <w:rsid w:val="00005AB1"/>
    <w:rsid w:val="00005FB4"/>
    <w:rsid w:val="00005FF4"/>
    <w:rsid w:val="0000604C"/>
    <w:rsid w:val="0000608A"/>
    <w:rsid w:val="00006190"/>
    <w:rsid w:val="00006521"/>
    <w:rsid w:val="00006B11"/>
    <w:rsid w:val="000072EF"/>
    <w:rsid w:val="000077E9"/>
    <w:rsid w:val="0001001F"/>
    <w:rsid w:val="00010914"/>
    <w:rsid w:val="00011353"/>
    <w:rsid w:val="00011596"/>
    <w:rsid w:val="000118AC"/>
    <w:rsid w:val="00011A8B"/>
    <w:rsid w:val="00012045"/>
    <w:rsid w:val="00012990"/>
    <w:rsid w:val="00012D70"/>
    <w:rsid w:val="00013A00"/>
    <w:rsid w:val="00013CBF"/>
    <w:rsid w:val="00014188"/>
    <w:rsid w:val="000147C1"/>
    <w:rsid w:val="000149C1"/>
    <w:rsid w:val="00014D8F"/>
    <w:rsid w:val="00014E9A"/>
    <w:rsid w:val="000158CB"/>
    <w:rsid w:val="000160A7"/>
    <w:rsid w:val="00016224"/>
    <w:rsid w:val="00016350"/>
    <w:rsid w:val="00016362"/>
    <w:rsid w:val="0001647F"/>
    <w:rsid w:val="00016B9A"/>
    <w:rsid w:val="0001707F"/>
    <w:rsid w:val="0001708B"/>
    <w:rsid w:val="00017CBC"/>
    <w:rsid w:val="00017DC4"/>
    <w:rsid w:val="00021034"/>
    <w:rsid w:val="000218A1"/>
    <w:rsid w:val="00021E89"/>
    <w:rsid w:val="0002258D"/>
    <w:rsid w:val="000225D0"/>
    <w:rsid w:val="00022D55"/>
    <w:rsid w:val="00023359"/>
    <w:rsid w:val="00023779"/>
    <w:rsid w:val="00023BA0"/>
    <w:rsid w:val="0002415C"/>
    <w:rsid w:val="00024919"/>
    <w:rsid w:val="00024F73"/>
    <w:rsid w:val="00024FF0"/>
    <w:rsid w:val="0002517D"/>
    <w:rsid w:val="00025C49"/>
    <w:rsid w:val="00025DF2"/>
    <w:rsid w:val="00025E8E"/>
    <w:rsid w:val="00026477"/>
    <w:rsid w:val="0002657C"/>
    <w:rsid w:val="000277BD"/>
    <w:rsid w:val="00027A1E"/>
    <w:rsid w:val="000309EC"/>
    <w:rsid w:val="00030A48"/>
    <w:rsid w:val="000310EF"/>
    <w:rsid w:val="0003137F"/>
    <w:rsid w:val="000315BD"/>
    <w:rsid w:val="00031A24"/>
    <w:rsid w:val="00031C1F"/>
    <w:rsid w:val="00031FF9"/>
    <w:rsid w:val="00032287"/>
    <w:rsid w:val="000328D9"/>
    <w:rsid w:val="00032EF5"/>
    <w:rsid w:val="00033048"/>
    <w:rsid w:val="00033A20"/>
    <w:rsid w:val="000346D6"/>
    <w:rsid w:val="00034781"/>
    <w:rsid w:val="00034E0E"/>
    <w:rsid w:val="000352BF"/>
    <w:rsid w:val="000352D2"/>
    <w:rsid w:val="000359EA"/>
    <w:rsid w:val="00035CE1"/>
    <w:rsid w:val="000362E1"/>
    <w:rsid w:val="000368B9"/>
    <w:rsid w:val="00036F2D"/>
    <w:rsid w:val="000371D1"/>
    <w:rsid w:val="0003783F"/>
    <w:rsid w:val="00037927"/>
    <w:rsid w:val="00037A17"/>
    <w:rsid w:val="00037F27"/>
    <w:rsid w:val="0004038E"/>
    <w:rsid w:val="000405AD"/>
    <w:rsid w:val="00040676"/>
    <w:rsid w:val="00040A22"/>
    <w:rsid w:val="00040B38"/>
    <w:rsid w:val="00040DC6"/>
    <w:rsid w:val="00041AA4"/>
    <w:rsid w:val="00042482"/>
    <w:rsid w:val="0004294F"/>
    <w:rsid w:val="000429D1"/>
    <w:rsid w:val="00042B55"/>
    <w:rsid w:val="00042EF6"/>
    <w:rsid w:val="000433F4"/>
    <w:rsid w:val="00043955"/>
    <w:rsid w:val="000440FE"/>
    <w:rsid w:val="00044122"/>
    <w:rsid w:val="00044416"/>
    <w:rsid w:val="00044CBE"/>
    <w:rsid w:val="000452A4"/>
    <w:rsid w:val="00045814"/>
    <w:rsid w:val="00045C30"/>
    <w:rsid w:val="00045EBC"/>
    <w:rsid w:val="00045ECC"/>
    <w:rsid w:val="00046338"/>
    <w:rsid w:val="00046498"/>
    <w:rsid w:val="00046E9D"/>
    <w:rsid w:val="00047245"/>
    <w:rsid w:val="000473CF"/>
    <w:rsid w:val="000475A7"/>
    <w:rsid w:val="000475F3"/>
    <w:rsid w:val="000476C8"/>
    <w:rsid w:val="00050496"/>
    <w:rsid w:val="00050593"/>
    <w:rsid w:val="00050674"/>
    <w:rsid w:val="00050C54"/>
    <w:rsid w:val="00051113"/>
    <w:rsid w:val="0005123D"/>
    <w:rsid w:val="00051292"/>
    <w:rsid w:val="00051912"/>
    <w:rsid w:val="00051B4A"/>
    <w:rsid w:val="00051CAD"/>
    <w:rsid w:val="00051F53"/>
    <w:rsid w:val="0005226A"/>
    <w:rsid w:val="00052B18"/>
    <w:rsid w:val="000532E9"/>
    <w:rsid w:val="00053424"/>
    <w:rsid w:val="00053819"/>
    <w:rsid w:val="00053DF6"/>
    <w:rsid w:val="00053F70"/>
    <w:rsid w:val="000540AF"/>
    <w:rsid w:val="00054A29"/>
    <w:rsid w:val="000553F1"/>
    <w:rsid w:val="00055449"/>
    <w:rsid w:val="00055653"/>
    <w:rsid w:val="00055B75"/>
    <w:rsid w:val="00055D7F"/>
    <w:rsid w:val="00055DE4"/>
    <w:rsid w:val="00055F9F"/>
    <w:rsid w:val="00056857"/>
    <w:rsid w:val="000568C9"/>
    <w:rsid w:val="00056C6B"/>
    <w:rsid w:val="0005731E"/>
    <w:rsid w:val="00057A59"/>
    <w:rsid w:val="00057EA7"/>
    <w:rsid w:val="0006097E"/>
    <w:rsid w:val="00060F3F"/>
    <w:rsid w:val="00060FE0"/>
    <w:rsid w:val="00061037"/>
    <w:rsid w:val="000612BB"/>
    <w:rsid w:val="00061311"/>
    <w:rsid w:val="000618E1"/>
    <w:rsid w:val="00061E5D"/>
    <w:rsid w:val="00061FCF"/>
    <w:rsid w:val="00062051"/>
    <w:rsid w:val="0006254B"/>
    <w:rsid w:val="00062B37"/>
    <w:rsid w:val="00062C62"/>
    <w:rsid w:val="00062D09"/>
    <w:rsid w:val="00062E12"/>
    <w:rsid w:val="00063135"/>
    <w:rsid w:val="00063D7A"/>
    <w:rsid w:val="000645C6"/>
    <w:rsid w:val="00064838"/>
    <w:rsid w:val="00064940"/>
    <w:rsid w:val="00064C20"/>
    <w:rsid w:val="00065326"/>
    <w:rsid w:val="00065522"/>
    <w:rsid w:val="00065B6B"/>
    <w:rsid w:val="00066512"/>
    <w:rsid w:val="00066756"/>
    <w:rsid w:val="0006677C"/>
    <w:rsid w:val="0006756F"/>
    <w:rsid w:val="00067702"/>
    <w:rsid w:val="000700B9"/>
    <w:rsid w:val="000704A0"/>
    <w:rsid w:val="00070778"/>
    <w:rsid w:val="00070818"/>
    <w:rsid w:val="00070ECE"/>
    <w:rsid w:val="00071117"/>
    <w:rsid w:val="00071999"/>
    <w:rsid w:val="00071C36"/>
    <w:rsid w:val="00071FC3"/>
    <w:rsid w:val="000720A5"/>
    <w:rsid w:val="000729EA"/>
    <w:rsid w:val="00072A81"/>
    <w:rsid w:val="00072C35"/>
    <w:rsid w:val="000732D5"/>
    <w:rsid w:val="0007366A"/>
    <w:rsid w:val="00073A97"/>
    <w:rsid w:val="00073D7F"/>
    <w:rsid w:val="00073F0F"/>
    <w:rsid w:val="00073F55"/>
    <w:rsid w:val="00074714"/>
    <w:rsid w:val="00074964"/>
    <w:rsid w:val="000749E4"/>
    <w:rsid w:val="000753EC"/>
    <w:rsid w:val="0007546C"/>
    <w:rsid w:val="000758E2"/>
    <w:rsid w:val="000765F4"/>
    <w:rsid w:val="0007686F"/>
    <w:rsid w:val="00077189"/>
    <w:rsid w:val="0007728D"/>
    <w:rsid w:val="000772FF"/>
    <w:rsid w:val="00077749"/>
    <w:rsid w:val="00077944"/>
    <w:rsid w:val="000803C3"/>
    <w:rsid w:val="0008072C"/>
    <w:rsid w:val="000807E9"/>
    <w:rsid w:val="00080890"/>
    <w:rsid w:val="00080B66"/>
    <w:rsid w:val="00080BAE"/>
    <w:rsid w:val="00080E73"/>
    <w:rsid w:val="000811A1"/>
    <w:rsid w:val="000811F3"/>
    <w:rsid w:val="000812F8"/>
    <w:rsid w:val="000814C0"/>
    <w:rsid w:val="00081BF0"/>
    <w:rsid w:val="00081D54"/>
    <w:rsid w:val="00081F79"/>
    <w:rsid w:val="0008270B"/>
    <w:rsid w:val="0008274E"/>
    <w:rsid w:val="00083871"/>
    <w:rsid w:val="000838A5"/>
    <w:rsid w:val="00083D0B"/>
    <w:rsid w:val="0008491C"/>
    <w:rsid w:val="00084EE6"/>
    <w:rsid w:val="00085365"/>
    <w:rsid w:val="00085555"/>
    <w:rsid w:val="00085BC2"/>
    <w:rsid w:val="00085C20"/>
    <w:rsid w:val="00085EE0"/>
    <w:rsid w:val="0008624B"/>
    <w:rsid w:val="00086320"/>
    <w:rsid w:val="000871BF"/>
    <w:rsid w:val="000874F6"/>
    <w:rsid w:val="000877E1"/>
    <w:rsid w:val="00087F2B"/>
    <w:rsid w:val="000901CD"/>
    <w:rsid w:val="0009032C"/>
    <w:rsid w:val="000905C2"/>
    <w:rsid w:val="000906DE"/>
    <w:rsid w:val="000908B6"/>
    <w:rsid w:val="000909C7"/>
    <w:rsid w:val="00090D8D"/>
    <w:rsid w:val="00090E15"/>
    <w:rsid w:val="0009120D"/>
    <w:rsid w:val="000917E1"/>
    <w:rsid w:val="00091A1B"/>
    <w:rsid w:val="00091FDC"/>
    <w:rsid w:val="000920E0"/>
    <w:rsid w:val="00092179"/>
    <w:rsid w:val="000927AC"/>
    <w:rsid w:val="00092E8E"/>
    <w:rsid w:val="00092EB5"/>
    <w:rsid w:val="00092F5A"/>
    <w:rsid w:val="00093028"/>
    <w:rsid w:val="000932B3"/>
    <w:rsid w:val="00093F7F"/>
    <w:rsid w:val="0009445C"/>
    <w:rsid w:val="0009484D"/>
    <w:rsid w:val="000951BD"/>
    <w:rsid w:val="000952FC"/>
    <w:rsid w:val="00095306"/>
    <w:rsid w:val="000953FA"/>
    <w:rsid w:val="00095474"/>
    <w:rsid w:val="00095ECF"/>
    <w:rsid w:val="00095F6B"/>
    <w:rsid w:val="00096CAA"/>
    <w:rsid w:val="00096E76"/>
    <w:rsid w:val="00097785"/>
    <w:rsid w:val="0009799A"/>
    <w:rsid w:val="000A152D"/>
    <w:rsid w:val="000A153C"/>
    <w:rsid w:val="000A1791"/>
    <w:rsid w:val="000A18C4"/>
    <w:rsid w:val="000A305A"/>
    <w:rsid w:val="000A3431"/>
    <w:rsid w:val="000A3EEF"/>
    <w:rsid w:val="000A4B61"/>
    <w:rsid w:val="000A5CDA"/>
    <w:rsid w:val="000A5DDD"/>
    <w:rsid w:val="000A6328"/>
    <w:rsid w:val="000A6AB9"/>
    <w:rsid w:val="000A7AFC"/>
    <w:rsid w:val="000A7C42"/>
    <w:rsid w:val="000A7F48"/>
    <w:rsid w:val="000B096A"/>
    <w:rsid w:val="000B1316"/>
    <w:rsid w:val="000B1AFE"/>
    <w:rsid w:val="000B1D8F"/>
    <w:rsid w:val="000B2CB7"/>
    <w:rsid w:val="000B344D"/>
    <w:rsid w:val="000B3630"/>
    <w:rsid w:val="000B365C"/>
    <w:rsid w:val="000B38D1"/>
    <w:rsid w:val="000B40A5"/>
    <w:rsid w:val="000B40F0"/>
    <w:rsid w:val="000B4409"/>
    <w:rsid w:val="000B51E9"/>
    <w:rsid w:val="000B56CC"/>
    <w:rsid w:val="000B5B24"/>
    <w:rsid w:val="000B5C63"/>
    <w:rsid w:val="000B64E8"/>
    <w:rsid w:val="000B6A6C"/>
    <w:rsid w:val="000B7663"/>
    <w:rsid w:val="000B77F3"/>
    <w:rsid w:val="000B7D77"/>
    <w:rsid w:val="000C03DE"/>
    <w:rsid w:val="000C08FA"/>
    <w:rsid w:val="000C0ED9"/>
    <w:rsid w:val="000C10BB"/>
    <w:rsid w:val="000C1147"/>
    <w:rsid w:val="000C1D53"/>
    <w:rsid w:val="000C2780"/>
    <w:rsid w:val="000C31C1"/>
    <w:rsid w:val="000C3B97"/>
    <w:rsid w:val="000C404E"/>
    <w:rsid w:val="000C473F"/>
    <w:rsid w:val="000C4A5E"/>
    <w:rsid w:val="000C4B5E"/>
    <w:rsid w:val="000C6EC1"/>
    <w:rsid w:val="000C6FA4"/>
    <w:rsid w:val="000C7127"/>
    <w:rsid w:val="000C71FB"/>
    <w:rsid w:val="000C72FD"/>
    <w:rsid w:val="000C76D9"/>
    <w:rsid w:val="000C7970"/>
    <w:rsid w:val="000D03AB"/>
    <w:rsid w:val="000D14D7"/>
    <w:rsid w:val="000D239C"/>
    <w:rsid w:val="000D253E"/>
    <w:rsid w:val="000D28FD"/>
    <w:rsid w:val="000D2AEB"/>
    <w:rsid w:val="000D2DF0"/>
    <w:rsid w:val="000D2F8A"/>
    <w:rsid w:val="000D3193"/>
    <w:rsid w:val="000D3568"/>
    <w:rsid w:val="000D36A9"/>
    <w:rsid w:val="000D376A"/>
    <w:rsid w:val="000D3CB8"/>
    <w:rsid w:val="000D3EE0"/>
    <w:rsid w:val="000D3EEB"/>
    <w:rsid w:val="000D4125"/>
    <w:rsid w:val="000D4274"/>
    <w:rsid w:val="000D4EDE"/>
    <w:rsid w:val="000D50BA"/>
    <w:rsid w:val="000D53FB"/>
    <w:rsid w:val="000D56CD"/>
    <w:rsid w:val="000D580D"/>
    <w:rsid w:val="000D58DE"/>
    <w:rsid w:val="000D5F60"/>
    <w:rsid w:val="000D61EB"/>
    <w:rsid w:val="000D68A3"/>
    <w:rsid w:val="000D6B67"/>
    <w:rsid w:val="000D70A5"/>
    <w:rsid w:val="000D70DD"/>
    <w:rsid w:val="000D785F"/>
    <w:rsid w:val="000D7C9F"/>
    <w:rsid w:val="000D7D87"/>
    <w:rsid w:val="000D7EDD"/>
    <w:rsid w:val="000E06F0"/>
    <w:rsid w:val="000E0D8D"/>
    <w:rsid w:val="000E1AAE"/>
    <w:rsid w:val="000E1C36"/>
    <w:rsid w:val="000E1D1E"/>
    <w:rsid w:val="000E2258"/>
    <w:rsid w:val="000E267A"/>
    <w:rsid w:val="000E2CBA"/>
    <w:rsid w:val="000E2FEC"/>
    <w:rsid w:val="000E31D0"/>
    <w:rsid w:val="000E32A2"/>
    <w:rsid w:val="000E33F7"/>
    <w:rsid w:val="000E3530"/>
    <w:rsid w:val="000E3A9A"/>
    <w:rsid w:val="000E3F4D"/>
    <w:rsid w:val="000E4435"/>
    <w:rsid w:val="000E495A"/>
    <w:rsid w:val="000E6392"/>
    <w:rsid w:val="000E6D07"/>
    <w:rsid w:val="000E7175"/>
    <w:rsid w:val="000F0494"/>
    <w:rsid w:val="000F097D"/>
    <w:rsid w:val="000F0DDC"/>
    <w:rsid w:val="000F1046"/>
    <w:rsid w:val="000F16B0"/>
    <w:rsid w:val="000F1E81"/>
    <w:rsid w:val="000F2091"/>
    <w:rsid w:val="000F28E0"/>
    <w:rsid w:val="000F2A3B"/>
    <w:rsid w:val="000F2FD5"/>
    <w:rsid w:val="000F3643"/>
    <w:rsid w:val="000F3ECD"/>
    <w:rsid w:val="000F43F0"/>
    <w:rsid w:val="000F4D8E"/>
    <w:rsid w:val="000F4E09"/>
    <w:rsid w:val="000F4FEA"/>
    <w:rsid w:val="000F54BA"/>
    <w:rsid w:val="000F598C"/>
    <w:rsid w:val="000F5C96"/>
    <w:rsid w:val="000F64DE"/>
    <w:rsid w:val="000F64E6"/>
    <w:rsid w:val="000F6CA4"/>
    <w:rsid w:val="000F7AFE"/>
    <w:rsid w:val="000F7D1C"/>
    <w:rsid w:val="000F7D6B"/>
    <w:rsid w:val="00100989"/>
    <w:rsid w:val="001009C8"/>
    <w:rsid w:val="00100A58"/>
    <w:rsid w:val="00100C2D"/>
    <w:rsid w:val="00100DFF"/>
    <w:rsid w:val="0010153B"/>
    <w:rsid w:val="00101C9B"/>
    <w:rsid w:val="00101D4A"/>
    <w:rsid w:val="00101FBC"/>
    <w:rsid w:val="00102234"/>
    <w:rsid w:val="00102A90"/>
    <w:rsid w:val="00102D3C"/>
    <w:rsid w:val="00103912"/>
    <w:rsid w:val="00103CE9"/>
    <w:rsid w:val="00103DEB"/>
    <w:rsid w:val="00104F66"/>
    <w:rsid w:val="001057E7"/>
    <w:rsid w:val="00105E6E"/>
    <w:rsid w:val="0010621A"/>
    <w:rsid w:val="00106BB0"/>
    <w:rsid w:val="001071D5"/>
    <w:rsid w:val="00107767"/>
    <w:rsid w:val="00107BF2"/>
    <w:rsid w:val="00107FB2"/>
    <w:rsid w:val="00110055"/>
    <w:rsid w:val="0011041A"/>
    <w:rsid w:val="001106D2"/>
    <w:rsid w:val="00110A4B"/>
    <w:rsid w:val="001110FF"/>
    <w:rsid w:val="001116FE"/>
    <w:rsid w:val="001117A0"/>
    <w:rsid w:val="00111832"/>
    <w:rsid w:val="001119FE"/>
    <w:rsid w:val="00111AEB"/>
    <w:rsid w:val="00112AC5"/>
    <w:rsid w:val="00112DD7"/>
    <w:rsid w:val="00112E20"/>
    <w:rsid w:val="00113742"/>
    <w:rsid w:val="00113A37"/>
    <w:rsid w:val="00113B93"/>
    <w:rsid w:val="00113F6F"/>
    <w:rsid w:val="001142E1"/>
    <w:rsid w:val="001144FA"/>
    <w:rsid w:val="00114FEB"/>
    <w:rsid w:val="00115409"/>
    <w:rsid w:val="00115B27"/>
    <w:rsid w:val="00115C41"/>
    <w:rsid w:val="00116077"/>
    <w:rsid w:val="00116811"/>
    <w:rsid w:val="001174B5"/>
    <w:rsid w:val="00117A3F"/>
    <w:rsid w:val="001207E6"/>
    <w:rsid w:val="00120AF2"/>
    <w:rsid w:val="0012228E"/>
    <w:rsid w:val="00122B86"/>
    <w:rsid w:val="00122D4F"/>
    <w:rsid w:val="00122E81"/>
    <w:rsid w:val="00122F0D"/>
    <w:rsid w:val="00122F68"/>
    <w:rsid w:val="0012344F"/>
    <w:rsid w:val="00123985"/>
    <w:rsid w:val="001239BA"/>
    <w:rsid w:val="00123E2F"/>
    <w:rsid w:val="00124BC1"/>
    <w:rsid w:val="00124C50"/>
    <w:rsid w:val="00125608"/>
    <w:rsid w:val="00125BAA"/>
    <w:rsid w:val="001260E2"/>
    <w:rsid w:val="00126888"/>
    <w:rsid w:val="00126944"/>
    <w:rsid w:val="00126E00"/>
    <w:rsid w:val="00126EC6"/>
    <w:rsid w:val="00126F47"/>
    <w:rsid w:val="00126FC6"/>
    <w:rsid w:val="001270B4"/>
    <w:rsid w:val="00130039"/>
    <w:rsid w:val="001300E7"/>
    <w:rsid w:val="00130146"/>
    <w:rsid w:val="00130164"/>
    <w:rsid w:val="001302AF"/>
    <w:rsid w:val="0013079D"/>
    <w:rsid w:val="00130E28"/>
    <w:rsid w:val="00131432"/>
    <w:rsid w:val="001315BC"/>
    <w:rsid w:val="001317C6"/>
    <w:rsid w:val="00131911"/>
    <w:rsid w:val="001323F0"/>
    <w:rsid w:val="001326B3"/>
    <w:rsid w:val="00132C9D"/>
    <w:rsid w:val="001338EB"/>
    <w:rsid w:val="00133A86"/>
    <w:rsid w:val="0013416C"/>
    <w:rsid w:val="001341B8"/>
    <w:rsid w:val="00134BB1"/>
    <w:rsid w:val="001353E7"/>
    <w:rsid w:val="00135501"/>
    <w:rsid w:val="00135698"/>
    <w:rsid w:val="00135C43"/>
    <w:rsid w:val="001360D1"/>
    <w:rsid w:val="0013661E"/>
    <w:rsid w:val="0013691A"/>
    <w:rsid w:val="0013750A"/>
    <w:rsid w:val="00140072"/>
    <w:rsid w:val="00140690"/>
    <w:rsid w:val="0014071C"/>
    <w:rsid w:val="00140970"/>
    <w:rsid w:val="00140D2C"/>
    <w:rsid w:val="00141130"/>
    <w:rsid w:val="001413E0"/>
    <w:rsid w:val="00142739"/>
    <w:rsid w:val="00142D98"/>
    <w:rsid w:val="00143376"/>
    <w:rsid w:val="00143E58"/>
    <w:rsid w:val="00144019"/>
    <w:rsid w:val="0014441F"/>
    <w:rsid w:val="0014457F"/>
    <w:rsid w:val="0014462A"/>
    <w:rsid w:val="001447BF"/>
    <w:rsid w:val="00144F35"/>
    <w:rsid w:val="0014625A"/>
    <w:rsid w:val="00146AD9"/>
    <w:rsid w:val="00146B5A"/>
    <w:rsid w:val="00146F99"/>
    <w:rsid w:val="0014714B"/>
    <w:rsid w:val="00147216"/>
    <w:rsid w:val="00147244"/>
    <w:rsid w:val="001475FF"/>
    <w:rsid w:val="00147C6E"/>
    <w:rsid w:val="001506BA"/>
    <w:rsid w:val="00150BDE"/>
    <w:rsid w:val="00150E66"/>
    <w:rsid w:val="00150FF0"/>
    <w:rsid w:val="0015113D"/>
    <w:rsid w:val="0015159E"/>
    <w:rsid w:val="00151F1C"/>
    <w:rsid w:val="0015241D"/>
    <w:rsid w:val="00152E84"/>
    <w:rsid w:val="00152F54"/>
    <w:rsid w:val="00153000"/>
    <w:rsid w:val="00153167"/>
    <w:rsid w:val="00153C2F"/>
    <w:rsid w:val="00153D90"/>
    <w:rsid w:val="001546C6"/>
    <w:rsid w:val="00154D2B"/>
    <w:rsid w:val="00154DB9"/>
    <w:rsid w:val="00155A19"/>
    <w:rsid w:val="00155B5E"/>
    <w:rsid w:val="00155EB2"/>
    <w:rsid w:val="00155F78"/>
    <w:rsid w:val="001566A2"/>
    <w:rsid w:val="001567AC"/>
    <w:rsid w:val="001568CF"/>
    <w:rsid w:val="0015746F"/>
    <w:rsid w:val="00157C74"/>
    <w:rsid w:val="00157D33"/>
    <w:rsid w:val="00157F52"/>
    <w:rsid w:val="00160338"/>
    <w:rsid w:val="00161315"/>
    <w:rsid w:val="00161658"/>
    <w:rsid w:val="0016181F"/>
    <w:rsid w:val="0016209B"/>
    <w:rsid w:val="00162119"/>
    <w:rsid w:val="0016322D"/>
    <w:rsid w:val="0016408B"/>
    <w:rsid w:val="00164407"/>
    <w:rsid w:val="001644AF"/>
    <w:rsid w:val="00164737"/>
    <w:rsid w:val="00164F50"/>
    <w:rsid w:val="0016524A"/>
    <w:rsid w:val="001657A6"/>
    <w:rsid w:val="001659A4"/>
    <w:rsid w:val="00167755"/>
    <w:rsid w:val="00170078"/>
    <w:rsid w:val="001707C0"/>
    <w:rsid w:val="00171BE3"/>
    <w:rsid w:val="00171E22"/>
    <w:rsid w:val="00171F75"/>
    <w:rsid w:val="00172131"/>
    <w:rsid w:val="001727C2"/>
    <w:rsid w:val="00172C2F"/>
    <w:rsid w:val="0017309D"/>
    <w:rsid w:val="001732D3"/>
    <w:rsid w:val="0017339D"/>
    <w:rsid w:val="001733A4"/>
    <w:rsid w:val="001733B0"/>
    <w:rsid w:val="00173650"/>
    <w:rsid w:val="00173738"/>
    <w:rsid w:val="00173ED6"/>
    <w:rsid w:val="001746E0"/>
    <w:rsid w:val="00174F1B"/>
    <w:rsid w:val="0017581E"/>
    <w:rsid w:val="00175B2B"/>
    <w:rsid w:val="00176490"/>
    <w:rsid w:val="0018147F"/>
    <w:rsid w:val="00181AA5"/>
    <w:rsid w:val="00181CB5"/>
    <w:rsid w:val="00181F9C"/>
    <w:rsid w:val="00183758"/>
    <w:rsid w:val="00183A14"/>
    <w:rsid w:val="00183E82"/>
    <w:rsid w:val="0018460D"/>
    <w:rsid w:val="00184625"/>
    <w:rsid w:val="00184C05"/>
    <w:rsid w:val="00184C37"/>
    <w:rsid w:val="00184F0D"/>
    <w:rsid w:val="001862E5"/>
    <w:rsid w:val="001879C8"/>
    <w:rsid w:val="00187A5B"/>
    <w:rsid w:val="00187E0C"/>
    <w:rsid w:val="00190873"/>
    <w:rsid w:val="00190E6E"/>
    <w:rsid w:val="0019103B"/>
    <w:rsid w:val="00191284"/>
    <w:rsid w:val="00191870"/>
    <w:rsid w:val="0019219B"/>
    <w:rsid w:val="00192409"/>
    <w:rsid w:val="00192F67"/>
    <w:rsid w:val="001939C8"/>
    <w:rsid w:val="00193AA7"/>
    <w:rsid w:val="00193FB8"/>
    <w:rsid w:val="00194068"/>
    <w:rsid w:val="00194DDA"/>
    <w:rsid w:val="001950FD"/>
    <w:rsid w:val="00195E67"/>
    <w:rsid w:val="00195FE7"/>
    <w:rsid w:val="0019682F"/>
    <w:rsid w:val="0019733B"/>
    <w:rsid w:val="001974DD"/>
    <w:rsid w:val="00197A18"/>
    <w:rsid w:val="00197F15"/>
    <w:rsid w:val="001A0146"/>
    <w:rsid w:val="001A0BC2"/>
    <w:rsid w:val="001A13CC"/>
    <w:rsid w:val="001A167D"/>
    <w:rsid w:val="001A19B2"/>
    <w:rsid w:val="001A19FA"/>
    <w:rsid w:val="001A1A29"/>
    <w:rsid w:val="001A1DEB"/>
    <w:rsid w:val="001A2501"/>
    <w:rsid w:val="001A2D89"/>
    <w:rsid w:val="001A2E75"/>
    <w:rsid w:val="001A2F96"/>
    <w:rsid w:val="001A2FF6"/>
    <w:rsid w:val="001A33E5"/>
    <w:rsid w:val="001A38B4"/>
    <w:rsid w:val="001A3918"/>
    <w:rsid w:val="001A3B44"/>
    <w:rsid w:val="001A4041"/>
    <w:rsid w:val="001A42FA"/>
    <w:rsid w:val="001A4496"/>
    <w:rsid w:val="001A48AF"/>
    <w:rsid w:val="001A5039"/>
    <w:rsid w:val="001A50D2"/>
    <w:rsid w:val="001A517C"/>
    <w:rsid w:val="001A5218"/>
    <w:rsid w:val="001A569A"/>
    <w:rsid w:val="001A571E"/>
    <w:rsid w:val="001A6981"/>
    <w:rsid w:val="001A763F"/>
    <w:rsid w:val="001A799E"/>
    <w:rsid w:val="001A7AC1"/>
    <w:rsid w:val="001B0583"/>
    <w:rsid w:val="001B05A8"/>
    <w:rsid w:val="001B10EF"/>
    <w:rsid w:val="001B1450"/>
    <w:rsid w:val="001B14C2"/>
    <w:rsid w:val="001B291F"/>
    <w:rsid w:val="001B2D00"/>
    <w:rsid w:val="001B2DD6"/>
    <w:rsid w:val="001B3755"/>
    <w:rsid w:val="001B3E6B"/>
    <w:rsid w:val="001B41B6"/>
    <w:rsid w:val="001B4931"/>
    <w:rsid w:val="001B4ECE"/>
    <w:rsid w:val="001B5124"/>
    <w:rsid w:val="001B514A"/>
    <w:rsid w:val="001B556C"/>
    <w:rsid w:val="001B562C"/>
    <w:rsid w:val="001B581B"/>
    <w:rsid w:val="001B5B57"/>
    <w:rsid w:val="001B60F3"/>
    <w:rsid w:val="001B6891"/>
    <w:rsid w:val="001B7DDC"/>
    <w:rsid w:val="001C0067"/>
    <w:rsid w:val="001C0D14"/>
    <w:rsid w:val="001C199A"/>
    <w:rsid w:val="001C1B0F"/>
    <w:rsid w:val="001C232E"/>
    <w:rsid w:val="001C25E0"/>
    <w:rsid w:val="001C2D0C"/>
    <w:rsid w:val="001C31DE"/>
    <w:rsid w:val="001C4314"/>
    <w:rsid w:val="001C4B4A"/>
    <w:rsid w:val="001C51BA"/>
    <w:rsid w:val="001C5CD0"/>
    <w:rsid w:val="001C5DA4"/>
    <w:rsid w:val="001C646B"/>
    <w:rsid w:val="001C6E5B"/>
    <w:rsid w:val="001C6FE6"/>
    <w:rsid w:val="001D024F"/>
    <w:rsid w:val="001D02D5"/>
    <w:rsid w:val="001D0413"/>
    <w:rsid w:val="001D0450"/>
    <w:rsid w:val="001D0B2F"/>
    <w:rsid w:val="001D0D30"/>
    <w:rsid w:val="001D0FF9"/>
    <w:rsid w:val="001D1234"/>
    <w:rsid w:val="001D1458"/>
    <w:rsid w:val="001D14BF"/>
    <w:rsid w:val="001D14E9"/>
    <w:rsid w:val="001D1FDD"/>
    <w:rsid w:val="001D2088"/>
    <w:rsid w:val="001D258C"/>
    <w:rsid w:val="001D26CA"/>
    <w:rsid w:val="001D26F0"/>
    <w:rsid w:val="001D2C91"/>
    <w:rsid w:val="001D34BF"/>
    <w:rsid w:val="001D39C4"/>
    <w:rsid w:val="001D3AA3"/>
    <w:rsid w:val="001D3AF2"/>
    <w:rsid w:val="001D5291"/>
    <w:rsid w:val="001D5B79"/>
    <w:rsid w:val="001D5CDA"/>
    <w:rsid w:val="001D6CD0"/>
    <w:rsid w:val="001D70F1"/>
    <w:rsid w:val="001D714D"/>
    <w:rsid w:val="001D7493"/>
    <w:rsid w:val="001D7E09"/>
    <w:rsid w:val="001E032D"/>
    <w:rsid w:val="001E0393"/>
    <w:rsid w:val="001E0EC1"/>
    <w:rsid w:val="001E171A"/>
    <w:rsid w:val="001E1735"/>
    <w:rsid w:val="001E2071"/>
    <w:rsid w:val="001E26BF"/>
    <w:rsid w:val="001E2B37"/>
    <w:rsid w:val="001E3D37"/>
    <w:rsid w:val="001E3FF9"/>
    <w:rsid w:val="001E4AAC"/>
    <w:rsid w:val="001E4C9D"/>
    <w:rsid w:val="001E5554"/>
    <w:rsid w:val="001E55D7"/>
    <w:rsid w:val="001E57A9"/>
    <w:rsid w:val="001E5B1C"/>
    <w:rsid w:val="001E5F47"/>
    <w:rsid w:val="001E68F9"/>
    <w:rsid w:val="001E69D1"/>
    <w:rsid w:val="001E6DCF"/>
    <w:rsid w:val="001E7039"/>
    <w:rsid w:val="001E71A3"/>
    <w:rsid w:val="001E7C4A"/>
    <w:rsid w:val="001F01B5"/>
    <w:rsid w:val="001F0335"/>
    <w:rsid w:val="001F062E"/>
    <w:rsid w:val="001F0918"/>
    <w:rsid w:val="001F1077"/>
    <w:rsid w:val="001F18C4"/>
    <w:rsid w:val="001F2404"/>
    <w:rsid w:val="001F27E6"/>
    <w:rsid w:val="001F2C37"/>
    <w:rsid w:val="001F307B"/>
    <w:rsid w:val="001F35EE"/>
    <w:rsid w:val="001F3A23"/>
    <w:rsid w:val="001F4050"/>
    <w:rsid w:val="001F4810"/>
    <w:rsid w:val="001F4A3A"/>
    <w:rsid w:val="001F5035"/>
    <w:rsid w:val="001F5D48"/>
    <w:rsid w:val="001F67A5"/>
    <w:rsid w:val="001F680B"/>
    <w:rsid w:val="001F6A00"/>
    <w:rsid w:val="001F6B91"/>
    <w:rsid w:val="001F6D74"/>
    <w:rsid w:val="001F795E"/>
    <w:rsid w:val="002001E6"/>
    <w:rsid w:val="002001F2"/>
    <w:rsid w:val="0020057D"/>
    <w:rsid w:val="002005FF"/>
    <w:rsid w:val="00201376"/>
    <w:rsid w:val="00201666"/>
    <w:rsid w:val="00201E76"/>
    <w:rsid w:val="00202018"/>
    <w:rsid w:val="002020A4"/>
    <w:rsid w:val="00202271"/>
    <w:rsid w:val="00202948"/>
    <w:rsid w:val="002032AD"/>
    <w:rsid w:val="00203489"/>
    <w:rsid w:val="002040B6"/>
    <w:rsid w:val="002043E8"/>
    <w:rsid w:val="00205111"/>
    <w:rsid w:val="00205614"/>
    <w:rsid w:val="00205C74"/>
    <w:rsid w:val="00206825"/>
    <w:rsid w:val="0021029C"/>
    <w:rsid w:val="002102CA"/>
    <w:rsid w:val="00210A98"/>
    <w:rsid w:val="00211D61"/>
    <w:rsid w:val="00211EE1"/>
    <w:rsid w:val="00212013"/>
    <w:rsid w:val="002121B7"/>
    <w:rsid w:val="002121EE"/>
    <w:rsid w:val="002126C0"/>
    <w:rsid w:val="00213777"/>
    <w:rsid w:val="002137F5"/>
    <w:rsid w:val="00213923"/>
    <w:rsid w:val="00213B95"/>
    <w:rsid w:val="00213D2C"/>
    <w:rsid w:val="00214181"/>
    <w:rsid w:val="002155A6"/>
    <w:rsid w:val="00215806"/>
    <w:rsid w:val="002159CC"/>
    <w:rsid w:val="00216FDC"/>
    <w:rsid w:val="0021720E"/>
    <w:rsid w:val="00217371"/>
    <w:rsid w:val="002204BE"/>
    <w:rsid w:val="0022154F"/>
    <w:rsid w:val="00221768"/>
    <w:rsid w:val="0022194E"/>
    <w:rsid w:val="00222625"/>
    <w:rsid w:val="0022272B"/>
    <w:rsid w:val="00224222"/>
    <w:rsid w:val="002243B5"/>
    <w:rsid w:val="00224A8F"/>
    <w:rsid w:val="00225354"/>
    <w:rsid w:val="00225393"/>
    <w:rsid w:val="002259AE"/>
    <w:rsid w:val="00226168"/>
    <w:rsid w:val="002263C7"/>
    <w:rsid w:val="002266CF"/>
    <w:rsid w:val="002272C1"/>
    <w:rsid w:val="00227AB5"/>
    <w:rsid w:val="00227B25"/>
    <w:rsid w:val="00227CB9"/>
    <w:rsid w:val="002306F3"/>
    <w:rsid w:val="002309E0"/>
    <w:rsid w:val="00230CCE"/>
    <w:rsid w:val="00231436"/>
    <w:rsid w:val="00231C54"/>
    <w:rsid w:val="00232885"/>
    <w:rsid w:val="00232D08"/>
    <w:rsid w:val="00232EC0"/>
    <w:rsid w:val="002331AC"/>
    <w:rsid w:val="002341FE"/>
    <w:rsid w:val="002345A0"/>
    <w:rsid w:val="002348B9"/>
    <w:rsid w:val="0023490B"/>
    <w:rsid w:val="00234EA9"/>
    <w:rsid w:val="0023501D"/>
    <w:rsid w:val="002351C0"/>
    <w:rsid w:val="00235294"/>
    <w:rsid w:val="00235A2C"/>
    <w:rsid w:val="00235AE6"/>
    <w:rsid w:val="00235DA5"/>
    <w:rsid w:val="002361C9"/>
    <w:rsid w:val="00236381"/>
    <w:rsid w:val="002364EE"/>
    <w:rsid w:val="002374E9"/>
    <w:rsid w:val="00237C11"/>
    <w:rsid w:val="0024002F"/>
    <w:rsid w:val="002403E6"/>
    <w:rsid w:val="0024078F"/>
    <w:rsid w:val="00240B3C"/>
    <w:rsid w:val="00240BBE"/>
    <w:rsid w:val="00240E2B"/>
    <w:rsid w:val="002413AA"/>
    <w:rsid w:val="002413EA"/>
    <w:rsid w:val="00241D60"/>
    <w:rsid w:val="00243174"/>
    <w:rsid w:val="00243380"/>
    <w:rsid w:val="00243F8A"/>
    <w:rsid w:val="00244087"/>
    <w:rsid w:val="0024445B"/>
    <w:rsid w:val="00245135"/>
    <w:rsid w:val="002458DB"/>
    <w:rsid w:val="002463AF"/>
    <w:rsid w:val="0024707B"/>
    <w:rsid w:val="002513C9"/>
    <w:rsid w:val="00251BC9"/>
    <w:rsid w:val="002535E5"/>
    <w:rsid w:val="002537D5"/>
    <w:rsid w:val="00253AD7"/>
    <w:rsid w:val="00254253"/>
    <w:rsid w:val="002543D2"/>
    <w:rsid w:val="00254923"/>
    <w:rsid w:val="00254EB4"/>
    <w:rsid w:val="00255064"/>
    <w:rsid w:val="002555BA"/>
    <w:rsid w:val="002555BF"/>
    <w:rsid w:val="00255988"/>
    <w:rsid w:val="00255F2B"/>
    <w:rsid w:val="00256371"/>
    <w:rsid w:val="00256BDC"/>
    <w:rsid w:val="00256C24"/>
    <w:rsid w:val="00256D10"/>
    <w:rsid w:val="002575C1"/>
    <w:rsid w:val="00257C4A"/>
    <w:rsid w:val="00257E0E"/>
    <w:rsid w:val="002600EB"/>
    <w:rsid w:val="0026010C"/>
    <w:rsid w:val="0026022D"/>
    <w:rsid w:val="002604E5"/>
    <w:rsid w:val="0026070A"/>
    <w:rsid w:val="00260782"/>
    <w:rsid w:val="00260837"/>
    <w:rsid w:val="00260EAD"/>
    <w:rsid w:val="002611E2"/>
    <w:rsid w:val="0026128A"/>
    <w:rsid w:val="0026165C"/>
    <w:rsid w:val="00261AB6"/>
    <w:rsid w:val="002621C1"/>
    <w:rsid w:val="00262545"/>
    <w:rsid w:val="00262C3D"/>
    <w:rsid w:val="00262F3D"/>
    <w:rsid w:val="0026319E"/>
    <w:rsid w:val="00263222"/>
    <w:rsid w:val="0026328A"/>
    <w:rsid w:val="002636A6"/>
    <w:rsid w:val="00263777"/>
    <w:rsid w:val="00263961"/>
    <w:rsid w:val="00263A14"/>
    <w:rsid w:val="00263A31"/>
    <w:rsid w:val="00263B50"/>
    <w:rsid w:val="0026503E"/>
    <w:rsid w:val="00266213"/>
    <w:rsid w:val="002667D3"/>
    <w:rsid w:val="00266BFE"/>
    <w:rsid w:val="00266CED"/>
    <w:rsid w:val="00266F04"/>
    <w:rsid w:val="002671A3"/>
    <w:rsid w:val="002675F1"/>
    <w:rsid w:val="00267D2A"/>
    <w:rsid w:val="002702E8"/>
    <w:rsid w:val="00270DEA"/>
    <w:rsid w:val="002715CB"/>
    <w:rsid w:val="00271A23"/>
    <w:rsid w:val="00271F82"/>
    <w:rsid w:val="0027275C"/>
    <w:rsid w:val="0027280C"/>
    <w:rsid w:val="0027298F"/>
    <w:rsid w:val="00272C1B"/>
    <w:rsid w:val="00272FDC"/>
    <w:rsid w:val="002735E5"/>
    <w:rsid w:val="00273FC0"/>
    <w:rsid w:val="00274016"/>
    <w:rsid w:val="00274228"/>
    <w:rsid w:val="00274BD9"/>
    <w:rsid w:val="00274CD2"/>
    <w:rsid w:val="00274FD6"/>
    <w:rsid w:val="002753AC"/>
    <w:rsid w:val="00275866"/>
    <w:rsid w:val="0027587C"/>
    <w:rsid w:val="002759D7"/>
    <w:rsid w:val="00276017"/>
    <w:rsid w:val="002767D8"/>
    <w:rsid w:val="0027696F"/>
    <w:rsid w:val="00276CEE"/>
    <w:rsid w:val="00276F24"/>
    <w:rsid w:val="00277045"/>
    <w:rsid w:val="002803B3"/>
    <w:rsid w:val="002805BD"/>
    <w:rsid w:val="00280D9D"/>
    <w:rsid w:val="002811A6"/>
    <w:rsid w:val="00282331"/>
    <w:rsid w:val="002825C6"/>
    <w:rsid w:val="00282AAD"/>
    <w:rsid w:val="00282BAA"/>
    <w:rsid w:val="00283477"/>
    <w:rsid w:val="00283AC5"/>
    <w:rsid w:val="00283FB9"/>
    <w:rsid w:val="0028418E"/>
    <w:rsid w:val="002845C9"/>
    <w:rsid w:val="00284D1C"/>
    <w:rsid w:val="002855B3"/>
    <w:rsid w:val="002856FC"/>
    <w:rsid w:val="002859F9"/>
    <w:rsid w:val="002860D8"/>
    <w:rsid w:val="00286A13"/>
    <w:rsid w:val="00286ACE"/>
    <w:rsid w:val="002874E3"/>
    <w:rsid w:val="002878F9"/>
    <w:rsid w:val="00287F13"/>
    <w:rsid w:val="002902E2"/>
    <w:rsid w:val="0029057E"/>
    <w:rsid w:val="00290693"/>
    <w:rsid w:val="00290771"/>
    <w:rsid w:val="002907BE"/>
    <w:rsid w:val="0029136D"/>
    <w:rsid w:val="00291E31"/>
    <w:rsid w:val="00292884"/>
    <w:rsid w:val="00292971"/>
    <w:rsid w:val="00293939"/>
    <w:rsid w:val="00294021"/>
    <w:rsid w:val="0029422C"/>
    <w:rsid w:val="00294452"/>
    <w:rsid w:val="00294632"/>
    <w:rsid w:val="002958CA"/>
    <w:rsid w:val="00295C50"/>
    <w:rsid w:val="00296765"/>
    <w:rsid w:val="0029762B"/>
    <w:rsid w:val="002977AE"/>
    <w:rsid w:val="0029786A"/>
    <w:rsid w:val="00297DA0"/>
    <w:rsid w:val="00297F16"/>
    <w:rsid w:val="002A018C"/>
    <w:rsid w:val="002A043B"/>
    <w:rsid w:val="002A061E"/>
    <w:rsid w:val="002A0697"/>
    <w:rsid w:val="002A06B9"/>
    <w:rsid w:val="002A0E86"/>
    <w:rsid w:val="002A1086"/>
    <w:rsid w:val="002A147D"/>
    <w:rsid w:val="002A1967"/>
    <w:rsid w:val="002A2535"/>
    <w:rsid w:val="002A2DF8"/>
    <w:rsid w:val="002A3F99"/>
    <w:rsid w:val="002A469C"/>
    <w:rsid w:val="002A4AB9"/>
    <w:rsid w:val="002A503A"/>
    <w:rsid w:val="002A5147"/>
    <w:rsid w:val="002A5232"/>
    <w:rsid w:val="002A6268"/>
    <w:rsid w:val="002A69B1"/>
    <w:rsid w:val="002A7149"/>
    <w:rsid w:val="002A7668"/>
    <w:rsid w:val="002A7911"/>
    <w:rsid w:val="002A7F21"/>
    <w:rsid w:val="002B0087"/>
    <w:rsid w:val="002B025D"/>
    <w:rsid w:val="002B03E7"/>
    <w:rsid w:val="002B0608"/>
    <w:rsid w:val="002B0C4B"/>
    <w:rsid w:val="002B0C6C"/>
    <w:rsid w:val="002B133C"/>
    <w:rsid w:val="002B2941"/>
    <w:rsid w:val="002B2C4C"/>
    <w:rsid w:val="002B3652"/>
    <w:rsid w:val="002B371D"/>
    <w:rsid w:val="002B41E8"/>
    <w:rsid w:val="002B43A6"/>
    <w:rsid w:val="002B4C5D"/>
    <w:rsid w:val="002B512C"/>
    <w:rsid w:val="002B538A"/>
    <w:rsid w:val="002B5858"/>
    <w:rsid w:val="002B5951"/>
    <w:rsid w:val="002B5FDA"/>
    <w:rsid w:val="002B65D3"/>
    <w:rsid w:val="002C01E9"/>
    <w:rsid w:val="002C03FD"/>
    <w:rsid w:val="002C103C"/>
    <w:rsid w:val="002C1220"/>
    <w:rsid w:val="002C17A0"/>
    <w:rsid w:val="002C1D26"/>
    <w:rsid w:val="002C25DB"/>
    <w:rsid w:val="002C3D30"/>
    <w:rsid w:val="002C48B3"/>
    <w:rsid w:val="002C49D3"/>
    <w:rsid w:val="002C4C30"/>
    <w:rsid w:val="002C539D"/>
    <w:rsid w:val="002C56EA"/>
    <w:rsid w:val="002C598E"/>
    <w:rsid w:val="002C6A86"/>
    <w:rsid w:val="002C6D81"/>
    <w:rsid w:val="002C7BCE"/>
    <w:rsid w:val="002C7D4B"/>
    <w:rsid w:val="002D0069"/>
    <w:rsid w:val="002D00A5"/>
    <w:rsid w:val="002D0A60"/>
    <w:rsid w:val="002D117E"/>
    <w:rsid w:val="002D13EB"/>
    <w:rsid w:val="002D14AF"/>
    <w:rsid w:val="002D1C04"/>
    <w:rsid w:val="002D1D60"/>
    <w:rsid w:val="002D1EAA"/>
    <w:rsid w:val="002D2311"/>
    <w:rsid w:val="002D2651"/>
    <w:rsid w:val="002D2740"/>
    <w:rsid w:val="002D2C06"/>
    <w:rsid w:val="002D2D5E"/>
    <w:rsid w:val="002D3707"/>
    <w:rsid w:val="002D3AC8"/>
    <w:rsid w:val="002D3D7C"/>
    <w:rsid w:val="002D3DDB"/>
    <w:rsid w:val="002D3ED2"/>
    <w:rsid w:val="002D4464"/>
    <w:rsid w:val="002D4A8D"/>
    <w:rsid w:val="002D4C4F"/>
    <w:rsid w:val="002D5B0C"/>
    <w:rsid w:val="002D6172"/>
    <w:rsid w:val="002E08CF"/>
    <w:rsid w:val="002E0E28"/>
    <w:rsid w:val="002E1620"/>
    <w:rsid w:val="002E1728"/>
    <w:rsid w:val="002E2147"/>
    <w:rsid w:val="002E262F"/>
    <w:rsid w:val="002E29DC"/>
    <w:rsid w:val="002E2D8B"/>
    <w:rsid w:val="002E2DED"/>
    <w:rsid w:val="002E3324"/>
    <w:rsid w:val="002E35D5"/>
    <w:rsid w:val="002E38AA"/>
    <w:rsid w:val="002E38DC"/>
    <w:rsid w:val="002E391D"/>
    <w:rsid w:val="002E4367"/>
    <w:rsid w:val="002E5119"/>
    <w:rsid w:val="002E5A27"/>
    <w:rsid w:val="002E694F"/>
    <w:rsid w:val="002E6EE1"/>
    <w:rsid w:val="002E702E"/>
    <w:rsid w:val="002E74B2"/>
    <w:rsid w:val="002E798A"/>
    <w:rsid w:val="002E7B69"/>
    <w:rsid w:val="002E7B9D"/>
    <w:rsid w:val="002E7BD0"/>
    <w:rsid w:val="002E7E61"/>
    <w:rsid w:val="002F1ED9"/>
    <w:rsid w:val="002F25BD"/>
    <w:rsid w:val="002F262E"/>
    <w:rsid w:val="002F2793"/>
    <w:rsid w:val="002F27A2"/>
    <w:rsid w:val="002F2BD5"/>
    <w:rsid w:val="002F43E6"/>
    <w:rsid w:val="002F48BD"/>
    <w:rsid w:val="002F4DA9"/>
    <w:rsid w:val="002F4ED1"/>
    <w:rsid w:val="002F5B9A"/>
    <w:rsid w:val="002F5D9B"/>
    <w:rsid w:val="002F5F6D"/>
    <w:rsid w:val="002F5FB5"/>
    <w:rsid w:val="002F647A"/>
    <w:rsid w:val="002F64F6"/>
    <w:rsid w:val="002F660F"/>
    <w:rsid w:val="002F6885"/>
    <w:rsid w:val="002F6B98"/>
    <w:rsid w:val="002F6EC5"/>
    <w:rsid w:val="002F70B2"/>
    <w:rsid w:val="002F74F2"/>
    <w:rsid w:val="002F7ECD"/>
    <w:rsid w:val="003006F7"/>
    <w:rsid w:val="003007DD"/>
    <w:rsid w:val="003007E5"/>
    <w:rsid w:val="00300E49"/>
    <w:rsid w:val="003014DE"/>
    <w:rsid w:val="003016A0"/>
    <w:rsid w:val="003018D3"/>
    <w:rsid w:val="00302017"/>
    <w:rsid w:val="00302136"/>
    <w:rsid w:val="003022A4"/>
    <w:rsid w:val="00302F39"/>
    <w:rsid w:val="00303209"/>
    <w:rsid w:val="00303A68"/>
    <w:rsid w:val="00303AF5"/>
    <w:rsid w:val="00304615"/>
    <w:rsid w:val="00304AA9"/>
    <w:rsid w:val="00304B49"/>
    <w:rsid w:val="00304F0E"/>
    <w:rsid w:val="00304FA1"/>
    <w:rsid w:val="0030536E"/>
    <w:rsid w:val="003054D0"/>
    <w:rsid w:val="00305B3C"/>
    <w:rsid w:val="00306046"/>
    <w:rsid w:val="0030643B"/>
    <w:rsid w:val="0030663A"/>
    <w:rsid w:val="003067B7"/>
    <w:rsid w:val="00306897"/>
    <w:rsid w:val="00306B22"/>
    <w:rsid w:val="00306E77"/>
    <w:rsid w:val="00306F49"/>
    <w:rsid w:val="0030771E"/>
    <w:rsid w:val="00307A20"/>
    <w:rsid w:val="00307F8F"/>
    <w:rsid w:val="003115F7"/>
    <w:rsid w:val="003116B3"/>
    <w:rsid w:val="00311DAD"/>
    <w:rsid w:val="00312165"/>
    <w:rsid w:val="003121E7"/>
    <w:rsid w:val="00312AB8"/>
    <w:rsid w:val="00312F5B"/>
    <w:rsid w:val="00312F92"/>
    <w:rsid w:val="0031324F"/>
    <w:rsid w:val="00313340"/>
    <w:rsid w:val="00313612"/>
    <w:rsid w:val="00313CC6"/>
    <w:rsid w:val="00313D6F"/>
    <w:rsid w:val="00313FF4"/>
    <w:rsid w:val="00314061"/>
    <w:rsid w:val="00314101"/>
    <w:rsid w:val="00314732"/>
    <w:rsid w:val="00314AB5"/>
    <w:rsid w:val="00314BB8"/>
    <w:rsid w:val="00314DFC"/>
    <w:rsid w:val="00315354"/>
    <w:rsid w:val="00316018"/>
    <w:rsid w:val="00316283"/>
    <w:rsid w:val="00316535"/>
    <w:rsid w:val="00316A60"/>
    <w:rsid w:val="00316F38"/>
    <w:rsid w:val="00316F59"/>
    <w:rsid w:val="003172F1"/>
    <w:rsid w:val="0031730E"/>
    <w:rsid w:val="00317530"/>
    <w:rsid w:val="00317593"/>
    <w:rsid w:val="00317801"/>
    <w:rsid w:val="00320513"/>
    <w:rsid w:val="00320B32"/>
    <w:rsid w:val="00320C5B"/>
    <w:rsid w:val="00320DF3"/>
    <w:rsid w:val="00320FC9"/>
    <w:rsid w:val="00321026"/>
    <w:rsid w:val="003215FF"/>
    <w:rsid w:val="0032207F"/>
    <w:rsid w:val="003221EF"/>
    <w:rsid w:val="00322789"/>
    <w:rsid w:val="003227AA"/>
    <w:rsid w:val="0032295D"/>
    <w:rsid w:val="00322EA6"/>
    <w:rsid w:val="00322FB0"/>
    <w:rsid w:val="0032309B"/>
    <w:rsid w:val="003232BC"/>
    <w:rsid w:val="003249EC"/>
    <w:rsid w:val="00324F90"/>
    <w:rsid w:val="00325605"/>
    <w:rsid w:val="00325A53"/>
    <w:rsid w:val="00326916"/>
    <w:rsid w:val="00326E1A"/>
    <w:rsid w:val="0032701A"/>
    <w:rsid w:val="00327818"/>
    <w:rsid w:val="003301BB"/>
    <w:rsid w:val="003303D0"/>
    <w:rsid w:val="00330B92"/>
    <w:rsid w:val="00330DB0"/>
    <w:rsid w:val="003310DA"/>
    <w:rsid w:val="00331265"/>
    <w:rsid w:val="00331383"/>
    <w:rsid w:val="003314ED"/>
    <w:rsid w:val="00331791"/>
    <w:rsid w:val="00332202"/>
    <w:rsid w:val="003325BE"/>
    <w:rsid w:val="00332D6A"/>
    <w:rsid w:val="003332EA"/>
    <w:rsid w:val="003337D8"/>
    <w:rsid w:val="00333B3A"/>
    <w:rsid w:val="00334196"/>
    <w:rsid w:val="0033472A"/>
    <w:rsid w:val="00334972"/>
    <w:rsid w:val="00335505"/>
    <w:rsid w:val="00335A72"/>
    <w:rsid w:val="0033614D"/>
    <w:rsid w:val="00336173"/>
    <w:rsid w:val="003361F4"/>
    <w:rsid w:val="0033629A"/>
    <w:rsid w:val="00336BA3"/>
    <w:rsid w:val="0033756A"/>
    <w:rsid w:val="003376AB"/>
    <w:rsid w:val="00337F02"/>
    <w:rsid w:val="00337F05"/>
    <w:rsid w:val="00340187"/>
    <w:rsid w:val="003401E4"/>
    <w:rsid w:val="0034028D"/>
    <w:rsid w:val="003403F9"/>
    <w:rsid w:val="0034070B"/>
    <w:rsid w:val="00340AE1"/>
    <w:rsid w:val="00341EA4"/>
    <w:rsid w:val="00341FB5"/>
    <w:rsid w:val="00341FC9"/>
    <w:rsid w:val="0034210E"/>
    <w:rsid w:val="00342143"/>
    <w:rsid w:val="003427FB"/>
    <w:rsid w:val="00342B22"/>
    <w:rsid w:val="0034331B"/>
    <w:rsid w:val="00343F65"/>
    <w:rsid w:val="003441DF"/>
    <w:rsid w:val="00344288"/>
    <w:rsid w:val="003446AF"/>
    <w:rsid w:val="00344910"/>
    <w:rsid w:val="003454F8"/>
    <w:rsid w:val="00345578"/>
    <w:rsid w:val="00345F96"/>
    <w:rsid w:val="0034675F"/>
    <w:rsid w:val="003467AD"/>
    <w:rsid w:val="00346812"/>
    <w:rsid w:val="00347093"/>
    <w:rsid w:val="0034742C"/>
    <w:rsid w:val="00350007"/>
    <w:rsid w:val="003500BD"/>
    <w:rsid w:val="00351110"/>
    <w:rsid w:val="003511D4"/>
    <w:rsid w:val="003512D5"/>
    <w:rsid w:val="00351A08"/>
    <w:rsid w:val="00351C01"/>
    <w:rsid w:val="00351C52"/>
    <w:rsid w:val="00351CB1"/>
    <w:rsid w:val="003523C6"/>
    <w:rsid w:val="00352506"/>
    <w:rsid w:val="003528C3"/>
    <w:rsid w:val="003529A5"/>
    <w:rsid w:val="00353487"/>
    <w:rsid w:val="00353881"/>
    <w:rsid w:val="0035390C"/>
    <w:rsid w:val="00353C7B"/>
    <w:rsid w:val="00353E54"/>
    <w:rsid w:val="0035442A"/>
    <w:rsid w:val="00355422"/>
    <w:rsid w:val="00355AF7"/>
    <w:rsid w:val="00355C24"/>
    <w:rsid w:val="00355D8E"/>
    <w:rsid w:val="00355DDA"/>
    <w:rsid w:val="003568AF"/>
    <w:rsid w:val="00356B00"/>
    <w:rsid w:val="00356F78"/>
    <w:rsid w:val="003578CD"/>
    <w:rsid w:val="00357A7F"/>
    <w:rsid w:val="00360D35"/>
    <w:rsid w:val="00361661"/>
    <w:rsid w:val="003616F6"/>
    <w:rsid w:val="00361C5A"/>
    <w:rsid w:val="00363159"/>
    <w:rsid w:val="00363188"/>
    <w:rsid w:val="003634D0"/>
    <w:rsid w:val="00363C9D"/>
    <w:rsid w:val="00363F1D"/>
    <w:rsid w:val="003641F6"/>
    <w:rsid w:val="00364561"/>
    <w:rsid w:val="00364BF5"/>
    <w:rsid w:val="00365EE0"/>
    <w:rsid w:val="003663C7"/>
    <w:rsid w:val="00366637"/>
    <w:rsid w:val="003667E5"/>
    <w:rsid w:val="00366A2B"/>
    <w:rsid w:val="00366B4E"/>
    <w:rsid w:val="00366BFC"/>
    <w:rsid w:val="00366D4B"/>
    <w:rsid w:val="00366DF1"/>
    <w:rsid w:val="00367024"/>
    <w:rsid w:val="00367BDB"/>
    <w:rsid w:val="003701ED"/>
    <w:rsid w:val="003705BA"/>
    <w:rsid w:val="00370FE0"/>
    <w:rsid w:val="0037103C"/>
    <w:rsid w:val="003713EC"/>
    <w:rsid w:val="00371B94"/>
    <w:rsid w:val="00371C12"/>
    <w:rsid w:val="00371DF4"/>
    <w:rsid w:val="00372784"/>
    <w:rsid w:val="00372D0A"/>
    <w:rsid w:val="00373639"/>
    <w:rsid w:val="00373747"/>
    <w:rsid w:val="003737DB"/>
    <w:rsid w:val="0037492D"/>
    <w:rsid w:val="00374C28"/>
    <w:rsid w:val="00375B9D"/>
    <w:rsid w:val="00375F73"/>
    <w:rsid w:val="003761FA"/>
    <w:rsid w:val="003767D5"/>
    <w:rsid w:val="0037699E"/>
    <w:rsid w:val="00377388"/>
    <w:rsid w:val="00377AD6"/>
    <w:rsid w:val="00377F00"/>
    <w:rsid w:val="00380902"/>
    <w:rsid w:val="00380D4E"/>
    <w:rsid w:val="00381080"/>
    <w:rsid w:val="003816B0"/>
    <w:rsid w:val="003818A3"/>
    <w:rsid w:val="00381BD7"/>
    <w:rsid w:val="00381EBD"/>
    <w:rsid w:val="0038229B"/>
    <w:rsid w:val="00382409"/>
    <w:rsid w:val="00382C7F"/>
    <w:rsid w:val="00382CA4"/>
    <w:rsid w:val="00382EDA"/>
    <w:rsid w:val="003831C3"/>
    <w:rsid w:val="0038325D"/>
    <w:rsid w:val="00383B06"/>
    <w:rsid w:val="00383CA6"/>
    <w:rsid w:val="00384BAD"/>
    <w:rsid w:val="0038601E"/>
    <w:rsid w:val="00386085"/>
    <w:rsid w:val="00386934"/>
    <w:rsid w:val="00387556"/>
    <w:rsid w:val="00387B8E"/>
    <w:rsid w:val="00387E43"/>
    <w:rsid w:val="00387E97"/>
    <w:rsid w:val="00390A07"/>
    <w:rsid w:val="003910A3"/>
    <w:rsid w:val="003915A8"/>
    <w:rsid w:val="003916A7"/>
    <w:rsid w:val="00391A3F"/>
    <w:rsid w:val="00392AFF"/>
    <w:rsid w:val="00392DDC"/>
    <w:rsid w:val="00393609"/>
    <w:rsid w:val="00393632"/>
    <w:rsid w:val="0039368C"/>
    <w:rsid w:val="00393736"/>
    <w:rsid w:val="00393CA9"/>
    <w:rsid w:val="0039416D"/>
    <w:rsid w:val="00394A50"/>
    <w:rsid w:val="00394F7D"/>
    <w:rsid w:val="003952E6"/>
    <w:rsid w:val="0039600E"/>
    <w:rsid w:val="0039678B"/>
    <w:rsid w:val="00396A62"/>
    <w:rsid w:val="00397544"/>
    <w:rsid w:val="0039763C"/>
    <w:rsid w:val="00397655"/>
    <w:rsid w:val="003976CC"/>
    <w:rsid w:val="00397750"/>
    <w:rsid w:val="003A06D9"/>
    <w:rsid w:val="003A0C14"/>
    <w:rsid w:val="003A0C74"/>
    <w:rsid w:val="003A119C"/>
    <w:rsid w:val="003A122C"/>
    <w:rsid w:val="003A1BE5"/>
    <w:rsid w:val="003A1C86"/>
    <w:rsid w:val="003A2178"/>
    <w:rsid w:val="003A321C"/>
    <w:rsid w:val="003A3BF2"/>
    <w:rsid w:val="003A3FD8"/>
    <w:rsid w:val="003A459B"/>
    <w:rsid w:val="003A49FC"/>
    <w:rsid w:val="003A4F7A"/>
    <w:rsid w:val="003A5C89"/>
    <w:rsid w:val="003A5E30"/>
    <w:rsid w:val="003A631A"/>
    <w:rsid w:val="003A63F1"/>
    <w:rsid w:val="003A6479"/>
    <w:rsid w:val="003A6523"/>
    <w:rsid w:val="003A65C4"/>
    <w:rsid w:val="003A66D1"/>
    <w:rsid w:val="003A66FF"/>
    <w:rsid w:val="003A72EB"/>
    <w:rsid w:val="003A76BA"/>
    <w:rsid w:val="003A7A49"/>
    <w:rsid w:val="003A7C66"/>
    <w:rsid w:val="003A7CD1"/>
    <w:rsid w:val="003A7D9C"/>
    <w:rsid w:val="003A7FFC"/>
    <w:rsid w:val="003B02EC"/>
    <w:rsid w:val="003B08C0"/>
    <w:rsid w:val="003B1061"/>
    <w:rsid w:val="003B13A2"/>
    <w:rsid w:val="003B16C2"/>
    <w:rsid w:val="003B179B"/>
    <w:rsid w:val="003B18F2"/>
    <w:rsid w:val="003B1A81"/>
    <w:rsid w:val="003B1A9B"/>
    <w:rsid w:val="003B29B8"/>
    <w:rsid w:val="003B3247"/>
    <w:rsid w:val="003B329C"/>
    <w:rsid w:val="003B32B1"/>
    <w:rsid w:val="003B335B"/>
    <w:rsid w:val="003B36F5"/>
    <w:rsid w:val="003B46AC"/>
    <w:rsid w:val="003B4BAD"/>
    <w:rsid w:val="003B4F9C"/>
    <w:rsid w:val="003B51B0"/>
    <w:rsid w:val="003B54BF"/>
    <w:rsid w:val="003B55AF"/>
    <w:rsid w:val="003B5C25"/>
    <w:rsid w:val="003B66F3"/>
    <w:rsid w:val="003B6F0D"/>
    <w:rsid w:val="003B759E"/>
    <w:rsid w:val="003B75A8"/>
    <w:rsid w:val="003B7772"/>
    <w:rsid w:val="003B7E60"/>
    <w:rsid w:val="003C0906"/>
    <w:rsid w:val="003C0AC6"/>
    <w:rsid w:val="003C0CDF"/>
    <w:rsid w:val="003C1339"/>
    <w:rsid w:val="003C284C"/>
    <w:rsid w:val="003C3949"/>
    <w:rsid w:val="003C52B5"/>
    <w:rsid w:val="003C73CB"/>
    <w:rsid w:val="003C74DF"/>
    <w:rsid w:val="003C75C8"/>
    <w:rsid w:val="003C7947"/>
    <w:rsid w:val="003C7AAD"/>
    <w:rsid w:val="003D09D5"/>
    <w:rsid w:val="003D09FC"/>
    <w:rsid w:val="003D0FBD"/>
    <w:rsid w:val="003D1499"/>
    <w:rsid w:val="003D17E1"/>
    <w:rsid w:val="003D1AB7"/>
    <w:rsid w:val="003D25FE"/>
    <w:rsid w:val="003D2714"/>
    <w:rsid w:val="003D2E83"/>
    <w:rsid w:val="003D2FAE"/>
    <w:rsid w:val="003D3756"/>
    <w:rsid w:val="003D377C"/>
    <w:rsid w:val="003D4062"/>
    <w:rsid w:val="003D43BC"/>
    <w:rsid w:val="003D43CD"/>
    <w:rsid w:val="003D484D"/>
    <w:rsid w:val="003D5149"/>
    <w:rsid w:val="003D570B"/>
    <w:rsid w:val="003D57AF"/>
    <w:rsid w:val="003D5E33"/>
    <w:rsid w:val="003D5FD2"/>
    <w:rsid w:val="003D6426"/>
    <w:rsid w:val="003D796B"/>
    <w:rsid w:val="003E00D4"/>
    <w:rsid w:val="003E0495"/>
    <w:rsid w:val="003E0E12"/>
    <w:rsid w:val="003E0E1B"/>
    <w:rsid w:val="003E142F"/>
    <w:rsid w:val="003E1909"/>
    <w:rsid w:val="003E226C"/>
    <w:rsid w:val="003E2719"/>
    <w:rsid w:val="003E29FA"/>
    <w:rsid w:val="003E2F79"/>
    <w:rsid w:val="003E315D"/>
    <w:rsid w:val="003E3217"/>
    <w:rsid w:val="003E3404"/>
    <w:rsid w:val="003E3822"/>
    <w:rsid w:val="003E3D39"/>
    <w:rsid w:val="003E41BF"/>
    <w:rsid w:val="003E56C5"/>
    <w:rsid w:val="003E5FDD"/>
    <w:rsid w:val="003E61EE"/>
    <w:rsid w:val="003E64B9"/>
    <w:rsid w:val="003E6D10"/>
    <w:rsid w:val="003E6F29"/>
    <w:rsid w:val="003E74B2"/>
    <w:rsid w:val="003F04FC"/>
    <w:rsid w:val="003F08E5"/>
    <w:rsid w:val="003F099E"/>
    <w:rsid w:val="003F0CCE"/>
    <w:rsid w:val="003F1261"/>
    <w:rsid w:val="003F1337"/>
    <w:rsid w:val="003F1781"/>
    <w:rsid w:val="003F1930"/>
    <w:rsid w:val="003F1E18"/>
    <w:rsid w:val="003F21B1"/>
    <w:rsid w:val="003F22B4"/>
    <w:rsid w:val="003F2376"/>
    <w:rsid w:val="003F305D"/>
    <w:rsid w:val="003F35FB"/>
    <w:rsid w:val="003F41DF"/>
    <w:rsid w:val="003F4257"/>
    <w:rsid w:val="003F442E"/>
    <w:rsid w:val="003F661B"/>
    <w:rsid w:val="003F6B10"/>
    <w:rsid w:val="003F72C4"/>
    <w:rsid w:val="003F7494"/>
    <w:rsid w:val="003F7516"/>
    <w:rsid w:val="003F7C5D"/>
    <w:rsid w:val="0040032B"/>
    <w:rsid w:val="00400AD6"/>
    <w:rsid w:val="00401226"/>
    <w:rsid w:val="00401357"/>
    <w:rsid w:val="004014F4"/>
    <w:rsid w:val="004019AD"/>
    <w:rsid w:val="00401A20"/>
    <w:rsid w:val="004020A6"/>
    <w:rsid w:val="00402375"/>
    <w:rsid w:val="00402812"/>
    <w:rsid w:val="004029ED"/>
    <w:rsid w:val="00402F50"/>
    <w:rsid w:val="004032EE"/>
    <w:rsid w:val="00403303"/>
    <w:rsid w:val="00403860"/>
    <w:rsid w:val="004039D8"/>
    <w:rsid w:val="00404C43"/>
    <w:rsid w:val="00404EA0"/>
    <w:rsid w:val="00404FE2"/>
    <w:rsid w:val="004057F9"/>
    <w:rsid w:val="00405BC3"/>
    <w:rsid w:val="00405DC9"/>
    <w:rsid w:val="00405FF4"/>
    <w:rsid w:val="004067E2"/>
    <w:rsid w:val="004068E4"/>
    <w:rsid w:val="00406C00"/>
    <w:rsid w:val="00406CCA"/>
    <w:rsid w:val="00406E7B"/>
    <w:rsid w:val="00406F4C"/>
    <w:rsid w:val="00407080"/>
    <w:rsid w:val="00407841"/>
    <w:rsid w:val="004104E2"/>
    <w:rsid w:val="004108C2"/>
    <w:rsid w:val="004110E6"/>
    <w:rsid w:val="00411275"/>
    <w:rsid w:val="004136B4"/>
    <w:rsid w:val="00413961"/>
    <w:rsid w:val="00413AB5"/>
    <w:rsid w:val="004143CE"/>
    <w:rsid w:val="00414981"/>
    <w:rsid w:val="00414EBB"/>
    <w:rsid w:val="00415BA4"/>
    <w:rsid w:val="00416C61"/>
    <w:rsid w:val="00416DA1"/>
    <w:rsid w:val="00417333"/>
    <w:rsid w:val="00417741"/>
    <w:rsid w:val="00417A84"/>
    <w:rsid w:val="00420126"/>
    <w:rsid w:val="004201CA"/>
    <w:rsid w:val="0042086E"/>
    <w:rsid w:val="004218C5"/>
    <w:rsid w:val="00421C88"/>
    <w:rsid w:val="004224D6"/>
    <w:rsid w:val="0042274F"/>
    <w:rsid w:val="004234FA"/>
    <w:rsid w:val="0042358C"/>
    <w:rsid w:val="0042373F"/>
    <w:rsid w:val="0042423E"/>
    <w:rsid w:val="004251F2"/>
    <w:rsid w:val="00425305"/>
    <w:rsid w:val="0042589D"/>
    <w:rsid w:val="00425B72"/>
    <w:rsid w:val="0042614A"/>
    <w:rsid w:val="004262A4"/>
    <w:rsid w:val="004265B2"/>
    <w:rsid w:val="00426685"/>
    <w:rsid w:val="0042677A"/>
    <w:rsid w:val="00426F6F"/>
    <w:rsid w:val="0042737F"/>
    <w:rsid w:val="00427402"/>
    <w:rsid w:val="00427A99"/>
    <w:rsid w:val="00430F9E"/>
    <w:rsid w:val="004311EA"/>
    <w:rsid w:val="00431813"/>
    <w:rsid w:val="00431C2D"/>
    <w:rsid w:val="00431CAB"/>
    <w:rsid w:val="00431EA4"/>
    <w:rsid w:val="00432147"/>
    <w:rsid w:val="004321A5"/>
    <w:rsid w:val="00432300"/>
    <w:rsid w:val="00432843"/>
    <w:rsid w:val="004331C2"/>
    <w:rsid w:val="00433781"/>
    <w:rsid w:val="00433B66"/>
    <w:rsid w:val="00433C8F"/>
    <w:rsid w:val="00433ED0"/>
    <w:rsid w:val="00434050"/>
    <w:rsid w:val="00434116"/>
    <w:rsid w:val="00434D89"/>
    <w:rsid w:val="00434DE0"/>
    <w:rsid w:val="00434EB3"/>
    <w:rsid w:val="0043536C"/>
    <w:rsid w:val="00435EBD"/>
    <w:rsid w:val="00436324"/>
    <w:rsid w:val="004365C4"/>
    <w:rsid w:val="00436E40"/>
    <w:rsid w:val="00437E0A"/>
    <w:rsid w:val="004401A3"/>
    <w:rsid w:val="00440718"/>
    <w:rsid w:val="00441176"/>
    <w:rsid w:val="004411DC"/>
    <w:rsid w:val="004413EE"/>
    <w:rsid w:val="00441C5B"/>
    <w:rsid w:val="00441F59"/>
    <w:rsid w:val="0044229B"/>
    <w:rsid w:val="00442587"/>
    <w:rsid w:val="004426F8"/>
    <w:rsid w:val="004428CE"/>
    <w:rsid w:val="00443E41"/>
    <w:rsid w:val="00444C8D"/>
    <w:rsid w:val="00445500"/>
    <w:rsid w:val="004455BD"/>
    <w:rsid w:val="004457EB"/>
    <w:rsid w:val="00445BA6"/>
    <w:rsid w:val="00446005"/>
    <w:rsid w:val="00446114"/>
    <w:rsid w:val="00446196"/>
    <w:rsid w:val="0044627C"/>
    <w:rsid w:val="00446690"/>
    <w:rsid w:val="004469CB"/>
    <w:rsid w:val="004469F1"/>
    <w:rsid w:val="00446B64"/>
    <w:rsid w:val="0044792F"/>
    <w:rsid w:val="00447D49"/>
    <w:rsid w:val="0045045C"/>
    <w:rsid w:val="004506F8"/>
    <w:rsid w:val="004518C8"/>
    <w:rsid w:val="00451AD4"/>
    <w:rsid w:val="0045218C"/>
    <w:rsid w:val="00452394"/>
    <w:rsid w:val="00452681"/>
    <w:rsid w:val="00452CDC"/>
    <w:rsid w:val="00452D48"/>
    <w:rsid w:val="00452E4C"/>
    <w:rsid w:val="00452EFB"/>
    <w:rsid w:val="00452F2A"/>
    <w:rsid w:val="0045379D"/>
    <w:rsid w:val="004537DE"/>
    <w:rsid w:val="00453C25"/>
    <w:rsid w:val="00453D85"/>
    <w:rsid w:val="00454884"/>
    <w:rsid w:val="00455580"/>
    <w:rsid w:val="00455BE1"/>
    <w:rsid w:val="00456EAB"/>
    <w:rsid w:val="00456F71"/>
    <w:rsid w:val="00457499"/>
    <w:rsid w:val="00457B8C"/>
    <w:rsid w:val="00457E1F"/>
    <w:rsid w:val="0046060A"/>
    <w:rsid w:val="00460994"/>
    <w:rsid w:val="00461440"/>
    <w:rsid w:val="004615F5"/>
    <w:rsid w:val="0046179E"/>
    <w:rsid w:val="00462290"/>
    <w:rsid w:val="00463515"/>
    <w:rsid w:val="00463CB7"/>
    <w:rsid w:val="00463DDB"/>
    <w:rsid w:val="0046417C"/>
    <w:rsid w:val="004644C4"/>
    <w:rsid w:val="004645A0"/>
    <w:rsid w:val="00464F54"/>
    <w:rsid w:val="00465288"/>
    <w:rsid w:val="004653E5"/>
    <w:rsid w:val="00466211"/>
    <w:rsid w:val="0046656F"/>
    <w:rsid w:val="00466A08"/>
    <w:rsid w:val="00466A3C"/>
    <w:rsid w:val="00467656"/>
    <w:rsid w:val="004701D7"/>
    <w:rsid w:val="00470238"/>
    <w:rsid w:val="00470315"/>
    <w:rsid w:val="00470383"/>
    <w:rsid w:val="00470C87"/>
    <w:rsid w:val="00470DEC"/>
    <w:rsid w:val="00470ECE"/>
    <w:rsid w:val="004714D8"/>
    <w:rsid w:val="00472125"/>
    <w:rsid w:val="0047274B"/>
    <w:rsid w:val="00472D2D"/>
    <w:rsid w:val="00472E50"/>
    <w:rsid w:val="00472E76"/>
    <w:rsid w:val="00474276"/>
    <w:rsid w:val="0047456B"/>
    <w:rsid w:val="00474634"/>
    <w:rsid w:val="00474854"/>
    <w:rsid w:val="00475270"/>
    <w:rsid w:val="004752FA"/>
    <w:rsid w:val="004755AD"/>
    <w:rsid w:val="004759BA"/>
    <w:rsid w:val="00476164"/>
    <w:rsid w:val="004763F3"/>
    <w:rsid w:val="00476963"/>
    <w:rsid w:val="00476ED8"/>
    <w:rsid w:val="00477329"/>
    <w:rsid w:val="00477528"/>
    <w:rsid w:val="0047764A"/>
    <w:rsid w:val="00477C70"/>
    <w:rsid w:val="0048069C"/>
    <w:rsid w:val="004806E0"/>
    <w:rsid w:val="00481C8A"/>
    <w:rsid w:val="00482009"/>
    <w:rsid w:val="004823D6"/>
    <w:rsid w:val="00482FD3"/>
    <w:rsid w:val="0048316A"/>
    <w:rsid w:val="00483339"/>
    <w:rsid w:val="004834F5"/>
    <w:rsid w:val="00483DDA"/>
    <w:rsid w:val="00484FBB"/>
    <w:rsid w:val="00485421"/>
    <w:rsid w:val="004872E2"/>
    <w:rsid w:val="00487462"/>
    <w:rsid w:val="0049040C"/>
    <w:rsid w:val="004906FD"/>
    <w:rsid w:val="00491074"/>
    <w:rsid w:val="0049110B"/>
    <w:rsid w:val="00491150"/>
    <w:rsid w:val="0049224C"/>
    <w:rsid w:val="00492426"/>
    <w:rsid w:val="0049251D"/>
    <w:rsid w:val="004926AC"/>
    <w:rsid w:val="00492BD0"/>
    <w:rsid w:val="0049301D"/>
    <w:rsid w:val="00493B27"/>
    <w:rsid w:val="00493BC8"/>
    <w:rsid w:val="00493FB1"/>
    <w:rsid w:val="0049413C"/>
    <w:rsid w:val="0049435E"/>
    <w:rsid w:val="00494541"/>
    <w:rsid w:val="00495400"/>
    <w:rsid w:val="004956FE"/>
    <w:rsid w:val="00495E68"/>
    <w:rsid w:val="004966B3"/>
    <w:rsid w:val="00496AFE"/>
    <w:rsid w:val="00496CA7"/>
    <w:rsid w:val="004A037F"/>
    <w:rsid w:val="004A04DC"/>
    <w:rsid w:val="004A059D"/>
    <w:rsid w:val="004A09D0"/>
    <w:rsid w:val="004A0D2A"/>
    <w:rsid w:val="004A14A3"/>
    <w:rsid w:val="004A15BC"/>
    <w:rsid w:val="004A1C4B"/>
    <w:rsid w:val="004A1E2D"/>
    <w:rsid w:val="004A24EC"/>
    <w:rsid w:val="004A322F"/>
    <w:rsid w:val="004A3858"/>
    <w:rsid w:val="004A3B4A"/>
    <w:rsid w:val="004A3C32"/>
    <w:rsid w:val="004A3F25"/>
    <w:rsid w:val="004A4F2D"/>
    <w:rsid w:val="004A5281"/>
    <w:rsid w:val="004A59DE"/>
    <w:rsid w:val="004A5BAD"/>
    <w:rsid w:val="004A5DC0"/>
    <w:rsid w:val="004A5EC2"/>
    <w:rsid w:val="004A6958"/>
    <w:rsid w:val="004A6B8E"/>
    <w:rsid w:val="004A6DC2"/>
    <w:rsid w:val="004A74D9"/>
    <w:rsid w:val="004A779E"/>
    <w:rsid w:val="004A7C92"/>
    <w:rsid w:val="004B0261"/>
    <w:rsid w:val="004B083E"/>
    <w:rsid w:val="004B0B63"/>
    <w:rsid w:val="004B0C11"/>
    <w:rsid w:val="004B1F61"/>
    <w:rsid w:val="004B2353"/>
    <w:rsid w:val="004B26F3"/>
    <w:rsid w:val="004B2826"/>
    <w:rsid w:val="004B2A6A"/>
    <w:rsid w:val="004B3719"/>
    <w:rsid w:val="004B4A3A"/>
    <w:rsid w:val="004B4BA0"/>
    <w:rsid w:val="004B4BC0"/>
    <w:rsid w:val="004B534B"/>
    <w:rsid w:val="004B5AC8"/>
    <w:rsid w:val="004B64ED"/>
    <w:rsid w:val="004B682E"/>
    <w:rsid w:val="004B77A3"/>
    <w:rsid w:val="004B7938"/>
    <w:rsid w:val="004B7EF1"/>
    <w:rsid w:val="004C00AD"/>
    <w:rsid w:val="004C012D"/>
    <w:rsid w:val="004C05B2"/>
    <w:rsid w:val="004C06CC"/>
    <w:rsid w:val="004C1054"/>
    <w:rsid w:val="004C15AF"/>
    <w:rsid w:val="004C1B1B"/>
    <w:rsid w:val="004C1FD9"/>
    <w:rsid w:val="004C2BE2"/>
    <w:rsid w:val="004C2C06"/>
    <w:rsid w:val="004C38D2"/>
    <w:rsid w:val="004C39D0"/>
    <w:rsid w:val="004C4176"/>
    <w:rsid w:val="004C47F3"/>
    <w:rsid w:val="004C4E5E"/>
    <w:rsid w:val="004C51B7"/>
    <w:rsid w:val="004C5398"/>
    <w:rsid w:val="004C5727"/>
    <w:rsid w:val="004C5C9C"/>
    <w:rsid w:val="004C5D76"/>
    <w:rsid w:val="004C66F1"/>
    <w:rsid w:val="004C6DDE"/>
    <w:rsid w:val="004C7441"/>
    <w:rsid w:val="004C7C4B"/>
    <w:rsid w:val="004C7F88"/>
    <w:rsid w:val="004D0540"/>
    <w:rsid w:val="004D0ADF"/>
    <w:rsid w:val="004D0B47"/>
    <w:rsid w:val="004D0FAC"/>
    <w:rsid w:val="004D17EF"/>
    <w:rsid w:val="004D29A0"/>
    <w:rsid w:val="004D2A25"/>
    <w:rsid w:val="004D3860"/>
    <w:rsid w:val="004D4223"/>
    <w:rsid w:val="004D4BBC"/>
    <w:rsid w:val="004D5792"/>
    <w:rsid w:val="004D57BD"/>
    <w:rsid w:val="004D5CB8"/>
    <w:rsid w:val="004D5F2C"/>
    <w:rsid w:val="004D6151"/>
    <w:rsid w:val="004D72FD"/>
    <w:rsid w:val="004D7358"/>
    <w:rsid w:val="004D7729"/>
    <w:rsid w:val="004D7BD6"/>
    <w:rsid w:val="004D7E1C"/>
    <w:rsid w:val="004D7E31"/>
    <w:rsid w:val="004E0234"/>
    <w:rsid w:val="004E043A"/>
    <w:rsid w:val="004E0DE7"/>
    <w:rsid w:val="004E1183"/>
    <w:rsid w:val="004E2A5B"/>
    <w:rsid w:val="004E2B06"/>
    <w:rsid w:val="004E45C6"/>
    <w:rsid w:val="004E4EF9"/>
    <w:rsid w:val="004E50D9"/>
    <w:rsid w:val="004E50ED"/>
    <w:rsid w:val="004E5D82"/>
    <w:rsid w:val="004E5E5A"/>
    <w:rsid w:val="004E647C"/>
    <w:rsid w:val="004E6C99"/>
    <w:rsid w:val="004E7279"/>
    <w:rsid w:val="004E7772"/>
    <w:rsid w:val="004E77F5"/>
    <w:rsid w:val="004F02C5"/>
    <w:rsid w:val="004F0BFF"/>
    <w:rsid w:val="004F0C6C"/>
    <w:rsid w:val="004F0F57"/>
    <w:rsid w:val="004F26D0"/>
    <w:rsid w:val="004F27B5"/>
    <w:rsid w:val="004F2D30"/>
    <w:rsid w:val="004F2ECC"/>
    <w:rsid w:val="004F309C"/>
    <w:rsid w:val="004F345C"/>
    <w:rsid w:val="004F3475"/>
    <w:rsid w:val="004F3667"/>
    <w:rsid w:val="004F3A5F"/>
    <w:rsid w:val="004F3BEC"/>
    <w:rsid w:val="004F4E83"/>
    <w:rsid w:val="004F532B"/>
    <w:rsid w:val="004F5E19"/>
    <w:rsid w:val="004F6C09"/>
    <w:rsid w:val="004F6DBB"/>
    <w:rsid w:val="004F7A09"/>
    <w:rsid w:val="004F7A43"/>
    <w:rsid w:val="00500460"/>
    <w:rsid w:val="005019F2"/>
    <w:rsid w:val="00501A7E"/>
    <w:rsid w:val="005020BA"/>
    <w:rsid w:val="005022F6"/>
    <w:rsid w:val="0050279D"/>
    <w:rsid w:val="00502A10"/>
    <w:rsid w:val="00502FFD"/>
    <w:rsid w:val="0050325D"/>
    <w:rsid w:val="0050403B"/>
    <w:rsid w:val="00504068"/>
    <w:rsid w:val="00504081"/>
    <w:rsid w:val="00504354"/>
    <w:rsid w:val="005047C4"/>
    <w:rsid w:val="0050546B"/>
    <w:rsid w:val="00505536"/>
    <w:rsid w:val="005056F7"/>
    <w:rsid w:val="00505D04"/>
    <w:rsid w:val="00506746"/>
    <w:rsid w:val="00506942"/>
    <w:rsid w:val="0050706C"/>
    <w:rsid w:val="005071EE"/>
    <w:rsid w:val="005079CB"/>
    <w:rsid w:val="00507D95"/>
    <w:rsid w:val="00507E2B"/>
    <w:rsid w:val="005109CF"/>
    <w:rsid w:val="00510C94"/>
    <w:rsid w:val="00510D09"/>
    <w:rsid w:val="00510DC3"/>
    <w:rsid w:val="00511202"/>
    <w:rsid w:val="00511B2E"/>
    <w:rsid w:val="005136D2"/>
    <w:rsid w:val="00513795"/>
    <w:rsid w:val="005141C4"/>
    <w:rsid w:val="0051423E"/>
    <w:rsid w:val="00514732"/>
    <w:rsid w:val="00514980"/>
    <w:rsid w:val="00514CC0"/>
    <w:rsid w:val="00514CDE"/>
    <w:rsid w:val="00515439"/>
    <w:rsid w:val="00515460"/>
    <w:rsid w:val="005154F1"/>
    <w:rsid w:val="005167BC"/>
    <w:rsid w:val="005170F8"/>
    <w:rsid w:val="0051735C"/>
    <w:rsid w:val="00517696"/>
    <w:rsid w:val="00517A59"/>
    <w:rsid w:val="00517C23"/>
    <w:rsid w:val="00520056"/>
    <w:rsid w:val="00520542"/>
    <w:rsid w:val="005227DE"/>
    <w:rsid w:val="00522AE8"/>
    <w:rsid w:val="00522FE4"/>
    <w:rsid w:val="00523259"/>
    <w:rsid w:val="0052345E"/>
    <w:rsid w:val="0052379A"/>
    <w:rsid w:val="00523E32"/>
    <w:rsid w:val="00524A4B"/>
    <w:rsid w:val="00524E6F"/>
    <w:rsid w:val="0052540C"/>
    <w:rsid w:val="00525443"/>
    <w:rsid w:val="0052651B"/>
    <w:rsid w:val="00526A6E"/>
    <w:rsid w:val="00526B55"/>
    <w:rsid w:val="00526DF4"/>
    <w:rsid w:val="00526E52"/>
    <w:rsid w:val="00526FC9"/>
    <w:rsid w:val="00527123"/>
    <w:rsid w:val="005271E5"/>
    <w:rsid w:val="0052747A"/>
    <w:rsid w:val="00527891"/>
    <w:rsid w:val="005278A6"/>
    <w:rsid w:val="005300EF"/>
    <w:rsid w:val="005305BB"/>
    <w:rsid w:val="005308C3"/>
    <w:rsid w:val="005309B2"/>
    <w:rsid w:val="00530D9F"/>
    <w:rsid w:val="0053102E"/>
    <w:rsid w:val="005312E8"/>
    <w:rsid w:val="005312FD"/>
    <w:rsid w:val="005323BD"/>
    <w:rsid w:val="00532B38"/>
    <w:rsid w:val="00533209"/>
    <w:rsid w:val="00533470"/>
    <w:rsid w:val="00533812"/>
    <w:rsid w:val="00533E51"/>
    <w:rsid w:val="005340F9"/>
    <w:rsid w:val="00534262"/>
    <w:rsid w:val="0053426C"/>
    <w:rsid w:val="00534DA3"/>
    <w:rsid w:val="005355B5"/>
    <w:rsid w:val="00535B08"/>
    <w:rsid w:val="00535BE0"/>
    <w:rsid w:val="005361ED"/>
    <w:rsid w:val="0053640D"/>
    <w:rsid w:val="00536DE3"/>
    <w:rsid w:val="00536F9D"/>
    <w:rsid w:val="00536FF4"/>
    <w:rsid w:val="00537C59"/>
    <w:rsid w:val="005412B7"/>
    <w:rsid w:val="00541391"/>
    <w:rsid w:val="005416FD"/>
    <w:rsid w:val="0054173F"/>
    <w:rsid w:val="005417E2"/>
    <w:rsid w:val="005425F1"/>
    <w:rsid w:val="00542995"/>
    <w:rsid w:val="00543308"/>
    <w:rsid w:val="00543923"/>
    <w:rsid w:val="00544F14"/>
    <w:rsid w:val="00545094"/>
    <w:rsid w:val="0054519A"/>
    <w:rsid w:val="00546475"/>
    <w:rsid w:val="00546638"/>
    <w:rsid w:val="00547A1C"/>
    <w:rsid w:val="005505F4"/>
    <w:rsid w:val="00550BE1"/>
    <w:rsid w:val="0055246B"/>
    <w:rsid w:val="005525D1"/>
    <w:rsid w:val="005527EE"/>
    <w:rsid w:val="005528A2"/>
    <w:rsid w:val="00552A1C"/>
    <w:rsid w:val="00552CFE"/>
    <w:rsid w:val="00552DDB"/>
    <w:rsid w:val="0055337A"/>
    <w:rsid w:val="005535B9"/>
    <w:rsid w:val="005541D6"/>
    <w:rsid w:val="00554263"/>
    <w:rsid w:val="00555448"/>
    <w:rsid w:val="00555A97"/>
    <w:rsid w:val="00555BCD"/>
    <w:rsid w:val="00556023"/>
    <w:rsid w:val="00556028"/>
    <w:rsid w:val="00556029"/>
    <w:rsid w:val="00556A03"/>
    <w:rsid w:val="00556BB8"/>
    <w:rsid w:val="00556E3B"/>
    <w:rsid w:val="00556F8A"/>
    <w:rsid w:val="00557119"/>
    <w:rsid w:val="0055752B"/>
    <w:rsid w:val="005575C7"/>
    <w:rsid w:val="00557EF3"/>
    <w:rsid w:val="00557FB8"/>
    <w:rsid w:val="00560583"/>
    <w:rsid w:val="005606EB"/>
    <w:rsid w:val="00560B14"/>
    <w:rsid w:val="00560FA7"/>
    <w:rsid w:val="005611A6"/>
    <w:rsid w:val="005612E9"/>
    <w:rsid w:val="005614BC"/>
    <w:rsid w:val="00561687"/>
    <w:rsid w:val="0056181A"/>
    <w:rsid w:val="00561C64"/>
    <w:rsid w:val="0056200A"/>
    <w:rsid w:val="00562051"/>
    <w:rsid w:val="00562089"/>
    <w:rsid w:val="00562128"/>
    <w:rsid w:val="00562CA7"/>
    <w:rsid w:val="00562F83"/>
    <w:rsid w:val="00562F84"/>
    <w:rsid w:val="0056307B"/>
    <w:rsid w:val="00564C23"/>
    <w:rsid w:val="0056539A"/>
    <w:rsid w:val="00565DD1"/>
    <w:rsid w:val="00566030"/>
    <w:rsid w:val="0056619E"/>
    <w:rsid w:val="0056643C"/>
    <w:rsid w:val="00566666"/>
    <w:rsid w:val="00567006"/>
    <w:rsid w:val="00567E37"/>
    <w:rsid w:val="005705F3"/>
    <w:rsid w:val="00570E12"/>
    <w:rsid w:val="00570EA2"/>
    <w:rsid w:val="00570EDD"/>
    <w:rsid w:val="005711BB"/>
    <w:rsid w:val="005711CE"/>
    <w:rsid w:val="005712BC"/>
    <w:rsid w:val="00571CEA"/>
    <w:rsid w:val="00572112"/>
    <w:rsid w:val="005721DD"/>
    <w:rsid w:val="005729DC"/>
    <w:rsid w:val="00572DEF"/>
    <w:rsid w:val="0057411E"/>
    <w:rsid w:val="00574265"/>
    <w:rsid w:val="00574B13"/>
    <w:rsid w:val="005750E6"/>
    <w:rsid w:val="00575231"/>
    <w:rsid w:val="0057559F"/>
    <w:rsid w:val="00575EDE"/>
    <w:rsid w:val="00575FC6"/>
    <w:rsid w:val="005760CE"/>
    <w:rsid w:val="005763B4"/>
    <w:rsid w:val="005763D4"/>
    <w:rsid w:val="00576535"/>
    <w:rsid w:val="00576ABE"/>
    <w:rsid w:val="00576B00"/>
    <w:rsid w:val="00576CB4"/>
    <w:rsid w:val="00576E3B"/>
    <w:rsid w:val="005779FA"/>
    <w:rsid w:val="00577A12"/>
    <w:rsid w:val="00577E98"/>
    <w:rsid w:val="00580B63"/>
    <w:rsid w:val="00580C78"/>
    <w:rsid w:val="005816AC"/>
    <w:rsid w:val="00581D53"/>
    <w:rsid w:val="00582077"/>
    <w:rsid w:val="00582858"/>
    <w:rsid w:val="00582877"/>
    <w:rsid w:val="005832D6"/>
    <w:rsid w:val="0058356E"/>
    <w:rsid w:val="005836A9"/>
    <w:rsid w:val="00584C10"/>
    <w:rsid w:val="00585203"/>
    <w:rsid w:val="0058578C"/>
    <w:rsid w:val="0058664A"/>
    <w:rsid w:val="00586702"/>
    <w:rsid w:val="00590096"/>
    <w:rsid w:val="005901DF"/>
    <w:rsid w:val="00590D0B"/>
    <w:rsid w:val="0059165B"/>
    <w:rsid w:val="005924F1"/>
    <w:rsid w:val="00592CE7"/>
    <w:rsid w:val="005932D4"/>
    <w:rsid w:val="005934F8"/>
    <w:rsid w:val="00593AE0"/>
    <w:rsid w:val="00593E76"/>
    <w:rsid w:val="0059417F"/>
    <w:rsid w:val="00594526"/>
    <w:rsid w:val="00594551"/>
    <w:rsid w:val="005945E8"/>
    <w:rsid w:val="00594816"/>
    <w:rsid w:val="00594C2A"/>
    <w:rsid w:val="00595044"/>
    <w:rsid w:val="005955DA"/>
    <w:rsid w:val="005956B2"/>
    <w:rsid w:val="00595BB4"/>
    <w:rsid w:val="00595BF8"/>
    <w:rsid w:val="005963DE"/>
    <w:rsid w:val="0059688F"/>
    <w:rsid w:val="00596CC6"/>
    <w:rsid w:val="00596D75"/>
    <w:rsid w:val="00596E43"/>
    <w:rsid w:val="00596FFC"/>
    <w:rsid w:val="005973A1"/>
    <w:rsid w:val="00597818"/>
    <w:rsid w:val="005A019D"/>
    <w:rsid w:val="005A1910"/>
    <w:rsid w:val="005A2410"/>
    <w:rsid w:val="005A293C"/>
    <w:rsid w:val="005A2973"/>
    <w:rsid w:val="005A2E2D"/>
    <w:rsid w:val="005A31CF"/>
    <w:rsid w:val="005A3515"/>
    <w:rsid w:val="005A4239"/>
    <w:rsid w:val="005A460F"/>
    <w:rsid w:val="005A4888"/>
    <w:rsid w:val="005A4927"/>
    <w:rsid w:val="005A4A26"/>
    <w:rsid w:val="005A51C0"/>
    <w:rsid w:val="005A51C3"/>
    <w:rsid w:val="005A5905"/>
    <w:rsid w:val="005A6E23"/>
    <w:rsid w:val="005A7032"/>
    <w:rsid w:val="005A7204"/>
    <w:rsid w:val="005A746A"/>
    <w:rsid w:val="005A7E79"/>
    <w:rsid w:val="005B0042"/>
    <w:rsid w:val="005B02AB"/>
    <w:rsid w:val="005B093F"/>
    <w:rsid w:val="005B0BDD"/>
    <w:rsid w:val="005B0DBD"/>
    <w:rsid w:val="005B12E5"/>
    <w:rsid w:val="005B13E4"/>
    <w:rsid w:val="005B13F7"/>
    <w:rsid w:val="005B15FB"/>
    <w:rsid w:val="005B20F5"/>
    <w:rsid w:val="005B23CE"/>
    <w:rsid w:val="005B2457"/>
    <w:rsid w:val="005B2E8E"/>
    <w:rsid w:val="005B35B4"/>
    <w:rsid w:val="005B3E78"/>
    <w:rsid w:val="005B4099"/>
    <w:rsid w:val="005B4265"/>
    <w:rsid w:val="005B439B"/>
    <w:rsid w:val="005B48A3"/>
    <w:rsid w:val="005B5760"/>
    <w:rsid w:val="005B5BAC"/>
    <w:rsid w:val="005B627D"/>
    <w:rsid w:val="005B74A2"/>
    <w:rsid w:val="005B775C"/>
    <w:rsid w:val="005B7D4E"/>
    <w:rsid w:val="005B7DFC"/>
    <w:rsid w:val="005C0018"/>
    <w:rsid w:val="005C002B"/>
    <w:rsid w:val="005C0542"/>
    <w:rsid w:val="005C0812"/>
    <w:rsid w:val="005C0AFE"/>
    <w:rsid w:val="005C0C72"/>
    <w:rsid w:val="005C1A80"/>
    <w:rsid w:val="005C229D"/>
    <w:rsid w:val="005C238C"/>
    <w:rsid w:val="005C242A"/>
    <w:rsid w:val="005C24CF"/>
    <w:rsid w:val="005C2712"/>
    <w:rsid w:val="005C2A0B"/>
    <w:rsid w:val="005C2E58"/>
    <w:rsid w:val="005C2F40"/>
    <w:rsid w:val="005C3180"/>
    <w:rsid w:val="005C38DA"/>
    <w:rsid w:val="005C3EF1"/>
    <w:rsid w:val="005C48EC"/>
    <w:rsid w:val="005C51B1"/>
    <w:rsid w:val="005C5237"/>
    <w:rsid w:val="005C5B6E"/>
    <w:rsid w:val="005C5FD8"/>
    <w:rsid w:val="005C6E4E"/>
    <w:rsid w:val="005C71E5"/>
    <w:rsid w:val="005C7398"/>
    <w:rsid w:val="005C75DA"/>
    <w:rsid w:val="005C7C91"/>
    <w:rsid w:val="005D0726"/>
    <w:rsid w:val="005D0817"/>
    <w:rsid w:val="005D0972"/>
    <w:rsid w:val="005D0974"/>
    <w:rsid w:val="005D0D51"/>
    <w:rsid w:val="005D1A6C"/>
    <w:rsid w:val="005D1FD5"/>
    <w:rsid w:val="005D2343"/>
    <w:rsid w:val="005D27DB"/>
    <w:rsid w:val="005D299D"/>
    <w:rsid w:val="005D2D41"/>
    <w:rsid w:val="005D30DE"/>
    <w:rsid w:val="005D4709"/>
    <w:rsid w:val="005D4EC2"/>
    <w:rsid w:val="005D53EA"/>
    <w:rsid w:val="005D5A42"/>
    <w:rsid w:val="005D5E70"/>
    <w:rsid w:val="005D5F9E"/>
    <w:rsid w:val="005D63C9"/>
    <w:rsid w:val="005D65CC"/>
    <w:rsid w:val="005D664D"/>
    <w:rsid w:val="005D66BF"/>
    <w:rsid w:val="005D6AD6"/>
    <w:rsid w:val="005D6B02"/>
    <w:rsid w:val="005D6EB4"/>
    <w:rsid w:val="005D6F40"/>
    <w:rsid w:val="005D700B"/>
    <w:rsid w:val="005E003E"/>
    <w:rsid w:val="005E03FD"/>
    <w:rsid w:val="005E0574"/>
    <w:rsid w:val="005E05AB"/>
    <w:rsid w:val="005E1659"/>
    <w:rsid w:val="005E1FAD"/>
    <w:rsid w:val="005E2206"/>
    <w:rsid w:val="005E2412"/>
    <w:rsid w:val="005E2E7B"/>
    <w:rsid w:val="005E2EED"/>
    <w:rsid w:val="005E311D"/>
    <w:rsid w:val="005E3136"/>
    <w:rsid w:val="005E33D8"/>
    <w:rsid w:val="005E3496"/>
    <w:rsid w:val="005E3DB4"/>
    <w:rsid w:val="005E4985"/>
    <w:rsid w:val="005E4BED"/>
    <w:rsid w:val="005E5207"/>
    <w:rsid w:val="005E5717"/>
    <w:rsid w:val="005E62A8"/>
    <w:rsid w:val="005E6BE6"/>
    <w:rsid w:val="005E7022"/>
    <w:rsid w:val="005E727E"/>
    <w:rsid w:val="005F0790"/>
    <w:rsid w:val="005F0C14"/>
    <w:rsid w:val="005F1145"/>
    <w:rsid w:val="005F1775"/>
    <w:rsid w:val="005F2672"/>
    <w:rsid w:val="005F3311"/>
    <w:rsid w:val="005F4098"/>
    <w:rsid w:val="005F430E"/>
    <w:rsid w:val="005F434C"/>
    <w:rsid w:val="005F4D62"/>
    <w:rsid w:val="005F4F1C"/>
    <w:rsid w:val="005F4FD7"/>
    <w:rsid w:val="005F5C95"/>
    <w:rsid w:val="005F66FB"/>
    <w:rsid w:val="005F685C"/>
    <w:rsid w:val="005F6A16"/>
    <w:rsid w:val="005F779A"/>
    <w:rsid w:val="005F79C0"/>
    <w:rsid w:val="005F7A8C"/>
    <w:rsid w:val="006003F5"/>
    <w:rsid w:val="0060126C"/>
    <w:rsid w:val="006015BF"/>
    <w:rsid w:val="006019E9"/>
    <w:rsid w:val="00601C4A"/>
    <w:rsid w:val="00602089"/>
    <w:rsid w:val="00602204"/>
    <w:rsid w:val="00602F2D"/>
    <w:rsid w:val="006030C1"/>
    <w:rsid w:val="0060340A"/>
    <w:rsid w:val="006035A7"/>
    <w:rsid w:val="00603B5D"/>
    <w:rsid w:val="00603BFE"/>
    <w:rsid w:val="00603C8C"/>
    <w:rsid w:val="006040A3"/>
    <w:rsid w:val="006040AB"/>
    <w:rsid w:val="00604258"/>
    <w:rsid w:val="0060504B"/>
    <w:rsid w:val="006056BB"/>
    <w:rsid w:val="00605B2E"/>
    <w:rsid w:val="00606A59"/>
    <w:rsid w:val="00606B32"/>
    <w:rsid w:val="0060710F"/>
    <w:rsid w:val="00607675"/>
    <w:rsid w:val="006077DC"/>
    <w:rsid w:val="006100DD"/>
    <w:rsid w:val="006101B4"/>
    <w:rsid w:val="006107A8"/>
    <w:rsid w:val="00611975"/>
    <w:rsid w:val="00612458"/>
    <w:rsid w:val="0061261A"/>
    <w:rsid w:val="00612AC6"/>
    <w:rsid w:val="00612C0A"/>
    <w:rsid w:val="0061392D"/>
    <w:rsid w:val="00613A7B"/>
    <w:rsid w:val="00613E31"/>
    <w:rsid w:val="00614584"/>
    <w:rsid w:val="00614ADE"/>
    <w:rsid w:val="00614E49"/>
    <w:rsid w:val="0061506C"/>
    <w:rsid w:val="006151ED"/>
    <w:rsid w:val="00615465"/>
    <w:rsid w:val="006156A7"/>
    <w:rsid w:val="00615D36"/>
    <w:rsid w:val="00615DE3"/>
    <w:rsid w:val="0061681D"/>
    <w:rsid w:val="00616C54"/>
    <w:rsid w:val="00617E6D"/>
    <w:rsid w:val="00620041"/>
    <w:rsid w:val="0062068F"/>
    <w:rsid w:val="00621177"/>
    <w:rsid w:val="006212E0"/>
    <w:rsid w:val="00621E97"/>
    <w:rsid w:val="00622069"/>
    <w:rsid w:val="0062227A"/>
    <w:rsid w:val="00623584"/>
    <w:rsid w:val="00623C38"/>
    <w:rsid w:val="00623E3E"/>
    <w:rsid w:val="0062502E"/>
    <w:rsid w:val="00625A8A"/>
    <w:rsid w:val="00626974"/>
    <w:rsid w:val="00626ABB"/>
    <w:rsid w:val="00626BD3"/>
    <w:rsid w:val="0062707C"/>
    <w:rsid w:val="00627286"/>
    <w:rsid w:val="006274C7"/>
    <w:rsid w:val="00627988"/>
    <w:rsid w:val="0063097F"/>
    <w:rsid w:val="00631808"/>
    <w:rsid w:val="00631927"/>
    <w:rsid w:val="00631BC1"/>
    <w:rsid w:val="00631FDB"/>
    <w:rsid w:val="006336FD"/>
    <w:rsid w:val="00633E66"/>
    <w:rsid w:val="00634339"/>
    <w:rsid w:val="00634997"/>
    <w:rsid w:val="00635603"/>
    <w:rsid w:val="00635DE9"/>
    <w:rsid w:val="00635F2C"/>
    <w:rsid w:val="00636059"/>
    <w:rsid w:val="0063605B"/>
    <w:rsid w:val="00636704"/>
    <w:rsid w:val="00636A75"/>
    <w:rsid w:val="00637494"/>
    <w:rsid w:val="00640117"/>
    <w:rsid w:val="00640147"/>
    <w:rsid w:val="006403AB"/>
    <w:rsid w:val="0064060B"/>
    <w:rsid w:val="006412EC"/>
    <w:rsid w:val="006413CF"/>
    <w:rsid w:val="00641C92"/>
    <w:rsid w:val="0064257F"/>
    <w:rsid w:val="006425D3"/>
    <w:rsid w:val="006426D8"/>
    <w:rsid w:val="00642E0C"/>
    <w:rsid w:val="0064321E"/>
    <w:rsid w:val="006440BA"/>
    <w:rsid w:val="00644307"/>
    <w:rsid w:val="00644FA9"/>
    <w:rsid w:val="00645C0B"/>
    <w:rsid w:val="00645EB4"/>
    <w:rsid w:val="00646135"/>
    <w:rsid w:val="00646237"/>
    <w:rsid w:val="0064627B"/>
    <w:rsid w:val="006463B4"/>
    <w:rsid w:val="00646911"/>
    <w:rsid w:val="006470A7"/>
    <w:rsid w:val="0064724D"/>
    <w:rsid w:val="00647595"/>
    <w:rsid w:val="00647DD9"/>
    <w:rsid w:val="006501AC"/>
    <w:rsid w:val="00650660"/>
    <w:rsid w:val="006508D7"/>
    <w:rsid w:val="00650FD6"/>
    <w:rsid w:val="006511E6"/>
    <w:rsid w:val="00651324"/>
    <w:rsid w:val="00651C33"/>
    <w:rsid w:val="00652227"/>
    <w:rsid w:val="00652890"/>
    <w:rsid w:val="00652B90"/>
    <w:rsid w:val="00652CED"/>
    <w:rsid w:val="00653128"/>
    <w:rsid w:val="0065355B"/>
    <w:rsid w:val="0065360F"/>
    <w:rsid w:val="006536A8"/>
    <w:rsid w:val="00653848"/>
    <w:rsid w:val="00653907"/>
    <w:rsid w:val="0065438E"/>
    <w:rsid w:val="00654BB8"/>
    <w:rsid w:val="0065554C"/>
    <w:rsid w:val="00655D12"/>
    <w:rsid w:val="00655F29"/>
    <w:rsid w:val="00656839"/>
    <w:rsid w:val="00656CD5"/>
    <w:rsid w:val="00657358"/>
    <w:rsid w:val="006601F9"/>
    <w:rsid w:val="00660558"/>
    <w:rsid w:val="006609B5"/>
    <w:rsid w:val="006610BA"/>
    <w:rsid w:val="006613A9"/>
    <w:rsid w:val="00661CF7"/>
    <w:rsid w:val="006621C4"/>
    <w:rsid w:val="006628DF"/>
    <w:rsid w:val="006636C0"/>
    <w:rsid w:val="00664534"/>
    <w:rsid w:val="0066457E"/>
    <w:rsid w:val="00664998"/>
    <w:rsid w:val="00664C4F"/>
    <w:rsid w:val="00665290"/>
    <w:rsid w:val="00665844"/>
    <w:rsid w:val="00665D2B"/>
    <w:rsid w:val="00665DF2"/>
    <w:rsid w:val="00665F28"/>
    <w:rsid w:val="00665F43"/>
    <w:rsid w:val="00665FF1"/>
    <w:rsid w:val="006666FE"/>
    <w:rsid w:val="006668E8"/>
    <w:rsid w:val="006669B3"/>
    <w:rsid w:val="00666DC3"/>
    <w:rsid w:val="0066705A"/>
    <w:rsid w:val="006678B5"/>
    <w:rsid w:val="006678DF"/>
    <w:rsid w:val="00667B76"/>
    <w:rsid w:val="006701E2"/>
    <w:rsid w:val="0067085F"/>
    <w:rsid w:val="00670AF4"/>
    <w:rsid w:val="006719A7"/>
    <w:rsid w:val="006722DD"/>
    <w:rsid w:val="0067330D"/>
    <w:rsid w:val="00674512"/>
    <w:rsid w:val="0067478F"/>
    <w:rsid w:val="00674CEF"/>
    <w:rsid w:val="00674E9B"/>
    <w:rsid w:val="00674EBC"/>
    <w:rsid w:val="0067506B"/>
    <w:rsid w:val="00675347"/>
    <w:rsid w:val="0067563D"/>
    <w:rsid w:val="006756BB"/>
    <w:rsid w:val="00675910"/>
    <w:rsid w:val="00676BFE"/>
    <w:rsid w:val="00676DA7"/>
    <w:rsid w:val="00676E7C"/>
    <w:rsid w:val="00677926"/>
    <w:rsid w:val="00677D8B"/>
    <w:rsid w:val="006801CA"/>
    <w:rsid w:val="006802DD"/>
    <w:rsid w:val="00681C3B"/>
    <w:rsid w:val="006821C3"/>
    <w:rsid w:val="006823D9"/>
    <w:rsid w:val="00682E95"/>
    <w:rsid w:val="006830FA"/>
    <w:rsid w:val="0068360A"/>
    <w:rsid w:val="0068377D"/>
    <w:rsid w:val="00683D52"/>
    <w:rsid w:val="00683F2E"/>
    <w:rsid w:val="006843F1"/>
    <w:rsid w:val="006849E1"/>
    <w:rsid w:val="00684C45"/>
    <w:rsid w:val="00685438"/>
    <w:rsid w:val="006856DB"/>
    <w:rsid w:val="00685905"/>
    <w:rsid w:val="00685F3A"/>
    <w:rsid w:val="00685F4D"/>
    <w:rsid w:val="00686081"/>
    <w:rsid w:val="006860CD"/>
    <w:rsid w:val="00686311"/>
    <w:rsid w:val="00686BBE"/>
    <w:rsid w:val="00687089"/>
    <w:rsid w:val="006870B0"/>
    <w:rsid w:val="00687113"/>
    <w:rsid w:val="00687464"/>
    <w:rsid w:val="006877B8"/>
    <w:rsid w:val="00690E45"/>
    <w:rsid w:val="00690E9A"/>
    <w:rsid w:val="006911B9"/>
    <w:rsid w:val="00691644"/>
    <w:rsid w:val="00692168"/>
    <w:rsid w:val="00692BB5"/>
    <w:rsid w:val="00692BD1"/>
    <w:rsid w:val="00692D19"/>
    <w:rsid w:val="00692F2C"/>
    <w:rsid w:val="006931D9"/>
    <w:rsid w:val="006932E3"/>
    <w:rsid w:val="00693300"/>
    <w:rsid w:val="0069334F"/>
    <w:rsid w:val="0069335F"/>
    <w:rsid w:val="006939D8"/>
    <w:rsid w:val="00693BF4"/>
    <w:rsid w:val="00693DAA"/>
    <w:rsid w:val="00693DAB"/>
    <w:rsid w:val="006947C8"/>
    <w:rsid w:val="006949C3"/>
    <w:rsid w:val="0069594A"/>
    <w:rsid w:val="00696AD2"/>
    <w:rsid w:val="00696D3D"/>
    <w:rsid w:val="00696E4D"/>
    <w:rsid w:val="00696F22"/>
    <w:rsid w:val="00697449"/>
    <w:rsid w:val="0069789A"/>
    <w:rsid w:val="006A12EF"/>
    <w:rsid w:val="006A19B7"/>
    <w:rsid w:val="006A2033"/>
    <w:rsid w:val="006A2DD4"/>
    <w:rsid w:val="006A3063"/>
    <w:rsid w:val="006A3B7F"/>
    <w:rsid w:val="006A3D7B"/>
    <w:rsid w:val="006A4502"/>
    <w:rsid w:val="006A494D"/>
    <w:rsid w:val="006A60A6"/>
    <w:rsid w:val="006A6148"/>
    <w:rsid w:val="006A65EE"/>
    <w:rsid w:val="006A65F1"/>
    <w:rsid w:val="006A683E"/>
    <w:rsid w:val="006A69EB"/>
    <w:rsid w:val="006A6A3E"/>
    <w:rsid w:val="006A70D3"/>
    <w:rsid w:val="006A71AE"/>
    <w:rsid w:val="006A755A"/>
    <w:rsid w:val="006A79FE"/>
    <w:rsid w:val="006A7A18"/>
    <w:rsid w:val="006A7B21"/>
    <w:rsid w:val="006B044E"/>
    <w:rsid w:val="006B071E"/>
    <w:rsid w:val="006B0AC4"/>
    <w:rsid w:val="006B0BDF"/>
    <w:rsid w:val="006B10CE"/>
    <w:rsid w:val="006B1182"/>
    <w:rsid w:val="006B11D8"/>
    <w:rsid w:val="006B12E2"/>
    <w:rsid w:val="006B1369"/>
    <w:rsid w:val="006B1528"/>
    <w:rsid w:val="006B21C7"/>
    <w:rsid w:val="006B232C"/>
    <w:rsid w:val="006B233D"/>
    <w:rsid w:val="006B25B7"/>
    <w:rsid w:val="006B2C3F"/>
    <w:rsid w:val="006B3929"/>
    <w:rsid w:val="006B3CA3"/>
    <w:rsid w:val="006B413C"/>
    <w:rsid w:val="006B415B"/>
    <w:rsid w:val="006B55CA"/>
    <w:rsid w:val="006B562A"/>
    <w:rsid w:val="006B57E5"/>
    <w:rsid w:val="006B5902"/>
    <w:rsid w:val="006B5977"/>
    <w:rsid w:val="006B5B3A"/>
    <w:rsid w:val="006B5EF4"/>
    <w:rsid w:val="006B6604"/>
    <w:rsid w:val="006B68ED"/>
    <w:rsid w:val="006B6B2C"/>
    <w:rsid w:val="006B6E40"/>
    <w:rsid w:val="006B6F90"/>
    <w:rsid w:val="006B73D6"/>
    <w:rsid w:val="006B75CA"/>
    <w:rsid w:val="006B77E3"/>
    <w:rsid w:val="006B7A55"/>
    <w:rsid w:val="006B7EDC"/>
    <w:rsid w:val="006C02BD"/>
    <w:rsid w:val="006C09E0"/>
    <w:rsid w:val="006C162E"/>
    <w:rsid w:val="006C2231"/>
    <w:rsid w:val="006C2467"/>
    <w:rsid w:val="006C24CD"/>
    <w:rsid w:val="006C29D5"/>
    <w:rsid w:val="006C2A08"/>
    <w:rsid w:val="006C2A9E"/>
    <w:rsid w:val="006C2DA0"/>
    <w:rsid w:val="006C3581"/>
    <w:rsid w:val="006C3856"/>
    <w:rsid w:val="006C397E"/>
    <w:rsid w:val="006C3DBB"/>
    <w:rsid w:val="006C4039"/>
    <w:rsid w:val="006C4480"/>
    <w:rsid w:val="006C4A51"/>
    <w:rsid w:val="006C4CCC"/>
    <w:rsid w:val="006C4F6A"/>
    <w:rsid w:val="006C57B5"/>
    <w:rsid w:val="006C5F24"/>
    <w:rsid w:val="006C6900"/>
    <w:rsid w:val="006C6A32"/>
    <w:rsid w:val="006C71DD"/>
    <w:rsid w:val="006C7E1C"/>
    <w:rsid w:val="006C7F92"/>
    <w:rsid w:val="006D00D6"/>
    <w:rsid w:val="006D0AC1"/>
    <w:rsid w:val="006D105B"/>
    <w:rsid w:val="006D16F9"/>
    <w:rsid w:val="006D1B4B"/>
    <w:rsid w:val="006D270C"/>
    <w:rsid w:val="006D2B13"/>
    <w:rsid w:val="006D2CF5"/>
    <w:rsid w:val="006D3124"/>
    <w:rsid w:val="006D3AC5"/>
    <w:rsid w:val="006D3BB9"/>
    <w:rsid w:val="006D3D62"/>
    <w:rsid w:val="006D41F5"/>
    <w:rsid w:val="006D45D8"/>
    <w:rsid w:val="006D4BE4"/>
    <w:rsid w:val="006D4C45"/>
    <w:rsid w:val="006D4EC4"/>
    <w:rsid w:val="006D5529"/>
    <w:rsid w:val="006D5A09"/>
    <w:rsid w:val="006D5A81"/>
    <w:rsid w:val="006D5F38"/>
    <w:rsid w:val="006D7429"/>
    <w:rsid w:val="006D790B"/>
    <w:rsid w:val="006E04F2"/>
    <w:rsid w:val="006E05B6"/>
    <w:rsid w:val="006E05F0"/>
    <w:rsid w:val="006E0AAE"/>
    <w:rsid w:val="006E0BCC"/>
    <w:rsid w:val="006E1CCD"/>
    <w:rsid w:val="006E1F22"/>
    <w:rsid w:val="006E2602"/>
    <w:rsid w:val="006E2895"/>
    <w:rsid w:val="006E2961"/>
    <w:rsid w:val="006E2AC3"/>
    <w:rsid w:val="006E2ED6"/>
    <w:rsid w:val="006E2F2C"/>
    <w:rsid w:val="006E3059"/>
    <w:rsid w:val="006E32D8"/>
    <w:rsid w:val="006E3481"/>
    <w:rsid w:val="006E3D17"/>
    <w:rsid w:val="006E40B1"/>
    <w:rsid w:val="006E42BC"/>
    <w:rsid w:val="006E4539"/>
    <w:rsid w:val="006E475C"/>
    <w:rsid w:val="006E4E26"/>
    <w:rsid w:val="006E5402"/>
    <w:rsid w:val="006E542E"/>
    <w:rsid w:val="006E564C"/>
    <w:rsid w:val="006E5EF7"/>
    <w:rsid w:val="006E66AA"/>
    <w:rsid w:val="006E6A8A"/>
    <w:rsid w:val="006E6A9B"/>
    <w:rsid w:val="006E6E2B"/>
    <w:rsid w:val="006E7B9D"/>
    <w:rsid w:val="006E7DBB"/>
    <w:rsid w:val="006E7DDF"/>
    <w:rsid w:val="006F073A"/>
    <w:rsid w:val="006F0A4D"/>
    <w:rsid w:val="006F0ACC"/>
    <w:rsid w:val="006F0EDA"/>
    <w:rsid w:val="006F1168"/>
    <w:rsid w:val="006F1A28"/>
    <w:rsid w:val="006F2CA0"/>
    <w:rsid w:val="006F2D34"/>
    <w:rsid w:val="006F342D"/>
    <w:rsid w:val="006F3E8B"/>
    <w:rsid w:val="006F42C9"/>
    <w:rsid w:val="006F5357"/>
    <w:rsid w:val="006F5AC5"/>
    <w:rsid w:val="006F5C17"/>
    <w:rsid w:val="006F5DD5"/>
    <w:rsid w:val="006F64D5"/>
    <w:rsid w:val="006F6A84"/>
    <w:rsid w:val="006F6CBC"/>
    <w:rsid w:val="006F7A25"/>
    <w:rsid w:val="006F7C42"/>
    <w:rsid w:val="007002F2"/>
    <w:rsid w:val="00700833"/>
    <w:rsid w:val="00700BEF"/>
    <w:rsid w:val="0070102F"/>
    <w:rsid w:val="007016B1"/>
    <w:rsid w:val="007019AE"/>
    <w:rsid w:val="007020E4"/>
    <w:rsid w:val="007030D3"/>
    <w:rsid w:val="007033F5"/>
    <w:rsid w:val="00703458"/>
    <w:rsid w:val="00703B05"/>
    <w:rsid w:val="00703BCF"/>
    <w:rsid w:val="00703DE0"/>
    <w:rsid w:val="00704159"/>
    <w:rsid w:val="0070433D"/>
    <w:rsid w:val="0070476A"/>
    <w:rsid w:val="00704CFC"/>
    <w:rsid w:val="00704EC8"/>
    <w:rsid w:val="0070654B"/>
    <w:rsid w:val="007078F8"/>
    <w:rsid w:val="00707CB7"/>
    <w:rsid w:val="00707E43"/>
    <w:rsid w:val="00707E81"/>
    <w:rsid w:val="00707F90"/>
    <w:rsid w:val="00710EFA"/>
    <w:rsid w:val="00711151"/>
    <w:rsid w:val="007115F2"/>
    <w:rsid w:val="007129C1"/>
    <w:rsid w:val="00712CB0"/>
    <w:rsid w:val="00712EF0"/>
    <w:rsid w:val="007133AA"/>
    <w:rsid w:val="0071348F"/>
    <w:rsid w:val="007136AD"/>
    <w:rsid w:val="007142D8"/>
    <w:rsid w:val="00715682"/>
    <w:rsid w:val="00715AE7"/>
    <w:rsid w:val="00715CAA"/>
    <w:rsid w:val="00716BD1"/>
    <w:rsid w:val="00716DA1"/>
    <w:rsid w:val="007173E0"/>
    <w:rsid w:val="00717A24"/>
    <w:rsid w:val="00717F6F"/>
    <w:rsid w:val="00721069"/>
    <w:rsid w:val="007210AB"/>
    <w:rsid w:val="00721251"/>
    <w:rsid w:val="00721656"/>
    <w:rsid w:val="007216EC"/>
    <w:rsid w:val="00721821"/>
    <w:rsid w:val="00721D64"/>
    <w:rsid w:val="00721F93"/>
    <w:rsid w:val="00722340"/>
    <w:rsid w:val="007224CA"/>
    <w:rsid w:val="00722E1F"/>
    <w:rsid w:val="00723288"/>
    <w:rsid w:val="00723396"/>
    <w:rsid w:val="00723C0A"/>
    <w:rsid w:val="00723EE3"/>
    <w:rsid w:val="00723FAA"/>
    <w:rsid w:val="00723FD2"/>
    <w:rsid w:val="0072452E"/>
    <w:rsid w:val="007246DD"/>
    <w:rsid w:val="0072480D"/>
    <w:rsid w:val="00724D4F"/>
    <w:rsid w:val="007258EE"/>
    <w:rsid w:val="00725D23"/>
    <w:rsid w:val="0072619E"/>
    <w:rsid w:val="0072623F"/>
    <w:rsid w:val="00726378"/>
    <w:rsid w:val="00726B99"/>
    <w:rsid w:val="00726E6E"/>
    <w:rsid w:val="00726FD6"/>
    <w:rsid w:val="00727552"/>
    <w:rsid w:val="007277E1"/>
    <w:rsid w:val="007278E5"/>
    <w:rsid w:val="00727DCC"/>
    <w:rsid w:val="007304C2"/>
    <w:rsid w:val="00730B3D"/>
    <w:rsid w:val="00730CEB"/>
    <w:rsid w:val="00730D83"/>
    <w:rsid w:val="0073145B"/>
    <w:rsid w:val="00731ABA"/>
    <w:rsid w:val="0073248E"/>
    <w:rsid w:val="00733864"/>
    <w:rsid w:val="0073392E"/>
    <w:rsid w:val="00733931"/>
    <w:rsid w:val="00733C80"/>
    <w:rsid w:val="00733E00"/>
    <w:rsid w:val="00733F03"/>
    <w:rsid w:val="0073400C"/>
    <w:rsid w:val="007345ED"/>
    <w:rsid w:val="00734B26"/>
    <w:rsid w:val="00734C1D"/>
    <w:rsid w:val="00735378"/>
    <w:rsid w:val="00735688"/>
    <w:rsid w:val="00735B9D"/>
    <w:rsid w:val="00735FC5"/>
    <w:rsid w:val="00736299"/>
    <w:rsid w:val="0073639A"/>
    <w:rsid w:val="0073729F"/>
    <w:rsid w:val="00737853"/>
    <w:rsid w:val="0074089E"/>
    <w:rsid w:val="00740A5A"/>
    <w:rsid w:val="00741820"/>
    <w:rsid w:val="0074212B"/>
    <w:rsid w:val="007426A8"/>
    <w:rsid w:val="00743251"/>
    <w:rsid w:val="0074467A"/>
    <w:rsid w:val="007446BF"/>
    <w:rsid w:val="00744980"/>
    <w:rsid w:val="0074564E"/>
    <w:rsid w:val="00745A7C"/>
    <w:rsid w:val="007465F8"/>
    <w:rsid w:val="00747097"/>
    <w:rsid w:val="007473E3"/>
    <w:rsid w:val="00747450"/>
    <w:rsid w:val="00747819"/>
    <w:rsid w:val="00747AAE"/>
    <w:rsid w:val="0075039F"/>
    <w:rsid w:val="007506E8"/>
    <w:rsid w:val="007514B4"/>
    <w:rsid w:val="00751E06"/>
    <w:rsid w:val="00752270"/>
    <w:rsid w:val="00752414"/>
    <w:rsid w:val="0075251B"/>
    <w:rsid w:val="00752667"/>
    <w:rsid w:val="007526F9"/>
    <w:rsid w:val="007527EA"/>
    <w:rsid w:val="00752BAD"/>
    <w:rsid w:val="00752CAC"/>
    <w:rsid w:val="0075356C"/>
    <w:rsid w:val="00753D63"/>
    <w:rsid w:val="00754060"/>
    <w:rsid w:val="007541EF"/>
    <w:rsid w:val="00754658"/>
    <w:rsid w:val="00754F3F"/>
    <w:rsid w:val="00755128"/>
    <w:rsid w:val="007553CF"/>
    <w:rsid w:val="00755C28"/>
    <w:rsid w:val="0075661B"/>
    <w:rsid w:val="00757298"/>
    <w:rsid w:val="00757775"/>
    <w:rsid w:val="00757AE2"/>
    <w:rsid w:val="00757DA7"/>
    <w:rsid w:val="007600D2"/>
    <w:rsid w:val="00760BB2"/>
    <w:rsid w:val="0076145D"/>
    <w:rsid w:val="00761939"/>
    <w:rsid w:val="00761C3A"/>
    <w:rsid w:val="007625CE"/>
    <w:rsid w:val="00762F13"/>
    <w:rsid w:val="007635E4"/>
    <w:rsid w:val="007639A1"/>
    <w:rsid w:val="007642E0"/>
    <w:rsid w:val="0076441E"/>
    <w:rsid w:val="00764C18"/>
    <w:rsid w:val="0076504B"/>
    <w:rsid w:val="00765076"/>
    <w:rsid w:val="0076535E"/>
    <w:rsid w:val="007656E5"/>
    <w:rsid w:val="007660E1"/>
    <w:rsid w:val="00766365"/>
    <w:rsid w:val="00766937"/>
    <w:rsid w:val="007673E7"/>
    <w:rsid w:val="00767BE6"/>
    <w:rsid w:val="00767D71"/>
    <w:rsid w:val="00767F60"/>
    <w:rsid w:val="00770217"/>
    <w:rsid w:val="007709C7"/>
    <w:rsid w:val="00770A6F"/>
    <w:rsid w:val="00770B9F"/>
    <w:rsid w:val="00770C25"/>
    <w:rsid w:val="00770C8D"/>
    <w:rsid w:val="00770D69"/>
    <w:rsid w:val="00770D9A"/>
    <w:rsid w:val="00770EB9"/>
    <w:rsid w:val="00770FAE"/>
    <w:rsid w:val="00771248"/>
    <w:rsid w:val="0077210E"/>
    <w:rsid w:val="0077242F"/>
    <w:rsid w:val="007724FE"/>
    <w:rsid w:val="0077277A"/>
    <w:rsid w:val="00772F35"/>
    <w:rsid w:val="0077311B"/>
    <w:rsid w:val="00773672"/>
    <w:rsid w:val="007740E9"/>
    <w:rsid w:val="00774766"/>
    <w:rsid w:val="00774947"/>
    <w:rsid w:val="00776CE0"/>
    <w:rsid w:val="007771D6"/>
    <w:rsid w:val="00777641"/>
    <w:rsid w:val="00777989"/>
    <w:rsid w:val="007803D3"/>
    <w:rsid w:val="00781582"/>
    <w:rsid w:val="00782B1A"/>
    <w:rsid w:val="00783D7B"/>
    <w:rsid w:val="00783D92"/>
    <w:rsid w:val="00783E9E"/>
    <w:rsid w:val="00784579"/>
    <w:rsid w:val="007849CF"/>
    <w:rsid w:val="00784A20"/>
    <w:rsid w:val="00784C07"/>
    <w:rsid w:val="00784CA1"/>
    <w:rsid w:val="007852B1"/>
    <w:rsid w:val="00785BDE"/>
    <w:rsid w:val="007863AD"/>
    <w:rsid w:val="00786AB6"/>
    <w:rsid w:val="00786CE9"/>
    <w:rsid w:val="00787D0E"/>
    <w:rsid w:val="0079026C"/>
    <w:rsid w:val="007902AB"/>
    <w:rsid w:val="00790354"/>
    <w:rsid w:val="00790941"/>
    <w:rsid w:val="007909E4"/>
    <w:rsid w:val="00790BB7"/>
    <w:rsid w:val="007911A2"/>
    <w:rsid w:val="007914A1"/>
    <w:rsid w:val="00791C88"/>
    <w:rsid w:val="00791C92"/>
    <w:rsid w:val="007926D6"/>
    <w:rsid w:val="00792843"/>
    <w:rsid w:val="0079355C"/>
    <w:rsid w:val="007938B7"/>
    <w:rsid w:val="00793EFD"/>
    <w:rsid w:val="007945CF"/>
    <w:rsid w:val="00794772"/>
    <w:rsid w:val="00794D87"/>
    <w:rsid w:val="00794FD7"/>
    <w:rsid w:val="00795121"/>
    <w:rsid w:val="0079574A"/>
    <w:rsid w:val="0079578A"/>
    <w:rsid w:val="00796112"/>
    <w:rsid w:val="007970C4"/>
    <w:rsid w:val="007975D4"/>
    <w:rsid w:val="00797B49"/>
    <w:rsid w:val="007A0145"/>
    <w:rsid w:val="007A0181"/>
    <w:rsid w:val="007A0211"/>
    <w:rsid w:val="007A0820"/>
    <w:rsid w:val="007A0DA1"/>
    <w:rsid w:val="007A13C6"/>
    <w:rsid w:val="007A174A"/>
    <w:rsid w:val="007A2121"/>
    <w:rsid w:val="007A2728"/>
    <w:rsid w:val="007A2849"/>
    <w:rsid w:val="007A28CD"/>
    <w:rsid w:val="007A2EBE"/>
    <w:rsid w:val="007A3583"/>
    <w:rsid w:val="007A3ECD"/>
    <w:rsid w:val="007A4533"/>
    <w:rsid w:val="007A461D"/>
    <w:rsid w:val="007A4703"/>
    <w:rsid w:val="007A475F"/>
    <w:rsid w:val="007A49EC"/>
    <w:rsid w:val="007A50AD"/>
    <w:rsid w:val="007A59C3"/>
    <w:rsid w:val="007A5D83"/>
    <w:rsid w:val="007A5E8C"/>
    <w:rsid w:val="007A5FCE"/>
    <w:rsid w:val="007A615F"/>
    <w:rsid w:val="007A69CA"/>
    <w:rsid w:val="007A7A11"/>
    <w:rsid w:val="007A7ECD"/>
    <w:rsid w:val="007A7FC4"/>
    <w:rsid w:val="007B01D0"/>
    <w:rsid w:val="007B033B"/>
    <w:rsid w:val="007B107C"/>
    <w:rsid w:val="007B1496"/>
    <w:rsid w:val="007B1E86"/>
    <w:rsid w:val="007B2B28"/>
    <w:rsid w:val="007B3628"/>
    <w:rsid w:val="007B3B24"/>
    <w:rsid w:val="007B3D41"/>
    <w:rsid w:val="007B3DE3"/>
    <w:rsid w:val="007B42F5"/>
    <w:rsid w:val="007B46C9"/>
    <w:rsid w:val="007B4D93"/>
    <w:rsid w:val="007B5B33"/>
    <w:rsid w:val="007B7BD6"/>
    <w:rsid w:val="007C110C"/>
    <w:rsid w:val="007C2086"/>
    <w:rsid w:val="007C20AF"/>
    <w:rsid w:val="007C23CF"/>
    <w:rsid w:val="007C297D"/>
    <w:rsid w:val="007C4429"/>
    <w:rsid w:val="007C448A"/>
    <w:rsid w:val="007C4F8F"/>
    <w:rsid w:val="007C532E"/>
    <w:rsid w:val="007C5393"/>
    <w:rsid w:val="007C5417"/>
    <w:rsid w:val="007C5640"/>
    <w:rsid w:val="007C646A"/>
    <w:rsid w:val="007C6549"/>
    <w:rsid w:val="007C6A7A"/>
    <w:rsid w:val="007C6D43"/>
    <w:rsid w:val="007C6D4C"/>
    <w:rsid w:val="007C6F15"/>
    <w:rsid w:val="007C72EF"/>
    <w:rsid w:val="007C756C"/>
    <w:rsid w:val="007C7B78"/>
    <w:rsid w:val="007C7FC9"/>
    <w:rsid w:val="007D0137"/>
    <w:rsid w:val="007D0395"/>
    <w:rsid w:val="007D0E56"/>
    <w:rsid w:val="007D1143"/>
    <w:rsid w:val="007D21DE"/>
    <w:rsid w:val="007D22EB"/>
    <w:rsid w:val="007D24A7"/>
    <w:rsid w:val="007D2AB8"/>
    <w:rsid w:val="007D39C8"/>
    <w:rsid w:val="007D3C76"/>
    <w:rsid w:val="007D4917"/>
    <w:rsid w:val="007D4E51"/>
    <w:rsid w:val="007D4E7E"/>
    <w:rsid w:val="007D53E5"/>
    <w:rsid w:val="007D6CE5"/>
    <w:rsid w:val="007D6D31"/>
    <w:rsid w:val="007D6EEE"/>
    <w:rsid w:val="007D6FBF"/>
    <w:rsid w:val="007D71E5"/>
    <w:rsid w:val="007E01D2"/>
    <w:rsid w:val="007E0765"/>
    <w:rsid w:val="007E0831"/>
    <w:rsid w:val="007E099A"/>
    <w:rsid w:val="007E0A36"/>
    <w:rsid w:val="007E0F8D"/>
    <w:rsid w:val="007E124B"/>
    <w:rsid w:val="007E13D7"/>
    <w:rsid w:val="007E16C4"/>
    <w:rsid w:val="007E1F42"/>
    <w:rsid w:val="007E1FDB"/>
    <w:rsid w:val="007E2001"/>
    <w:rsid w:val="007E276E"/>
    <w:rsid w:val="007E2FED"/>
    <w:rsid w:val="007E3114"/>
    <w:rsid w:val="007E3654"/>
    <w:rsid w:val="007E3A56"/>
    <w:rsid w:val="007E3BD1"/>
    <w:rsid w:val="007E3D67"/>
    <w:rsid w:val="007E49C9"/>
    <w:rsid w:val="007E527D"/>
    <w:rsid w:val="007E5BE7"/>
    <w:rsid w:val="007E5D31"/>
    <w:rsid w:val="007E6346"/>
    <w:rsid w:val="007E670B"/>
    <w:rsid w:val="007E6E91"/>
    <w:rsid w:val="007E6FC4"/>
    <w:rsid w:val="007E7AC2"/>
    <w:rsid w:val="007E7AF6"/>
    <w:rsid w:val="007F0604"/>
    <w:rsid w:val="007F072B"/>
    <w:rsid w:val="007F1035"/>
    <w:rsid w:val="007F1300"/>
    <w:rsid w:val="007F1345"/>
    <w:rsid w:val="007F2C10"/>
    <w:rsid w:val="007F3989"/>
    <w:rsid w:val="007F39B2"/>
    <w:rsid w:val="007F3BAF"/>
    <w:rsid w:val="007F4109"/>
    <w:rsid w:val="007F45FF"/>
    <w:rsid w:val="007F4AA7"/>
    <w:rsid w:val="007F4D03"/>
    <w:rsid w:val="007F4D74"/>
    <w:rsid w:val="007F5636"/>
    <w:rsid w:val="007F6617"/>
    <w:rsid w:val="007F692F"/>
    <w:rsid w:val="007F69A0"/>
    <w:rsid w:val="007F6BDA"/>
    <w:rsid w:val="007F6EE8"/>
    <w:rsid w:val="007F7D36"/>
    <w:rsid w:val="00800BDD"/>
    <w:rsid w:val="00800E40"/>
    <w:rsid w:val="0080132A"/>
    <w:rsid w:val="0080178F"/>
    <w:rsid w:val="00802647"/>
    <w:rsid w:val="00803220"/>
    <w:rsid w:val="00804242"/>
    <w:rsid w:val="0080460C"/>
    <w:rsid w:val="00804AD1"/>
    <w:rsid w:val="00804C70"/>
    <w:rsid w:val="00804E14"/>
    <w:rsid w:val="00804E6A"/>
    <w:rsid w:val="008050EC"/>
    <w:rsid w:val="008050F4"/>
    <w:rsid w:val="00805320"/>
    <w:rsid w:val="00805D3D"/>
    <w:rsid w:val="00805E10"/>
    <w:rsid w:val="00806674"/>
    <w:rsid w:val="0080669B"/>
    <w:rsid w:val="008076D3"/>
    <w:rsid w:val="00807F0F"/>
    <w:rsid w:val="0081007C"/>
    <w:rsid w:val="00810341"/>
    <w:rsid w:val="00811107"/>
    <w:rsid w:val="00811122"/>
    <w:rsid w:val="00811614"/>
    <w:rsid w:val="0081182E"/>
    <w:rsid w:val="00811E4E"/>
    <w:rsid w:val="00812595"/>
    <w:rsid w:val="00812752"/>
    <w:rsid w:val="008128FE"/>
    <w:rsid w:val="008130C0"/>
    <w:rsid w:val="00813636"/>
    <w:rsid w:val="00813862"/>
    <w:rsid w:val="008145B1"/>
    <w:rsid w:val="00814A0D"/>
    <w:rsid w:val="00814B38"/>
    <w:rsid w:val="00814BE6"/>
    <w:rsid w:val="008164C2"/>
    <w:rsid w:val="00816C32"/>
    <w:rsid w:val="00816DF1"/>
    <w:rsid w:val="008170AB"/>
    <w:rsid w:val="00817348"/>
    <w:rsid w:val="00817421"/>
    <w:rsid w:val="00817590"/>
    <w:rsid w:val="00817922"/>
    <w:rsid w:val="00820411"/>
    <w:rsid w:val="00820942"/>
    <w:rsid w:val="00820D33"/>
    <w:rsid w:val="008215BE"/>
    <w:rsid w:val="00821A9C"/>
    <w:rsid w:val="00821E1E"/>
    <w:rsid w:val="0082297D"/>
    <w:rsid w:val="00822DAF"/>
    <w:rsid w:val="00822DE9"/>
    <w:rsid w:val="00822F18"/>
    <w:rsid w:val="00823697"/>
    <w:rsid w:val="008239A8"/>
    <w:rsid w:val="00824000"/>
    <w:rsid w:val="00824166"/>
    <w:rsid w:val="0082432B"/>
    <w:rsid w:val="00824689"/>
    <w:rsid w:val="00824DFC"/>
    <w:rsid w:val="008252E9"/>
    <w:rsid w:val="00825607"/>
    <w:rsid w:val="00825831"/>
    <w:rsid w:val="00825AF6"/>
    <w:rsid w:val="00825AF7"/>
    <w:rsid w:val="00825B09"/>
    <w:rsid w:val="00825D51"/>
    <w:rsid w:val="00826575"/>
    <w:rsid w:val="0082676F"/>
    <w:rsid w:val="00826868"/>
    <w:rsid w:val="00826A1F"/>
    <w:rsid w:val="00826BCF"/>
    <w:rsid w:val="008277F7"/>
    <w:rsid w:val="008279F7"/>
    <w:rsid w:val="00827D6C"/>
    <w:rsid w:val="00830009"/>
    <w:rsid w:val="00831963"/>
    <w:rsid w:val="00831C97"/>
    <w:rsid w:val="00831D48"/>
    <w:rsid w:val="00832532"/>
    <w:rsid w:val="0083262D"/>
    <w:rsid w:val="00832979"/>
    <w:rsid w:val="00832DAD"/>
    <w:rsid w:val="00833CB3"/>
    <w:rsid w:val="008342BA"/>
    <w:rsid w:val="00834341"/>
    <w:rsid w:val="00834354"/>
    <w:rsid w:val="008347C9"/>
    <w:rsid w:val="00834C4F"/>
    <w:rsid w:val="0083528B"/>
    <w:rsid w:val="00835C0D"/>
    <w:rsid w:val="00835C14"/>
    <w:rsid w:val="008362E8"/>
    <w:rsid w:val="00836F61"/>
    <w:rsid w:val="008400DC"/>
    <w:rsid w:val="008418B9"/>
    <w:rsid w:val="00841E12"/>
    <w:rsid w:val="00842C3C"/>
    <w:rsid w:val="008435EA"/>
    <w:rsid w:val="008437AC"/>
    <w:rsid w:val="00843B83"/>
    <w:rsid w:val="00843CA5"/>
    <w:rsid w:val="00843DAD"/>
    <w:rsid w:val="008440AF"/>
    <w:rsid w:val="0084421F"/>
    <w:rsid w:val="00844242"/>
    <w:rsid w:val="008443E9"/>
    <w:rsid w:val="00844791"/>
    <w:rsid w:val="00845322"/>
    <w:rsid w:val="00845467"/>
    <w:rsid w:val="008455EF"/>
    <w:rsid w:val="008456DD"/>
    <w:rsid w:val="00845777"/>
    <w:rsid w:val="008466BF"/>
    <w:rsid w:val="008467CC"/>
    <w:rsid w:val="00847DEF"/>
    <w:rsid w:val="008506C9"/>
    <w:rsid w:val="008507AA"/>
    <w:rsid w:val="00850E8D"/>
    <w:rsid w:val="008518FF"/>
    <w:rsid w:val="00851F14"/>
    <w:rsid w:val="0085208F"/>
    <w:rsid w:val="0085243F"/>
    <w:rsid w:val="00852567"/>
    <w:rsid w:val="008525B2"/>
    <w:rsid w:val="00852D72"/>
    <w:rsid w:val="00852DFE"/>
    <w:rsid w:val="0085320E"/>
    <w:rsid w:val="0085442F"/>
    <w:rsid w:val="00854922"/>
    <w:rsid w:val="00855762"/>
    <w:rsid w:val="0085578A"/>
    <w:rsid w:val="00855814"/>
    <w:rsid w:val="00855C7B"/>
    <w:rsid w:val="008561CF"/>
    <w:rsid w:val="008562BD"/>
    <w:rsid w:val="00856892"/>
    <w:rsid w:val="00856C72"/>
    <w:rsid w:val="00856CA8"/>
    <w:rsid w:val="0085720A"/>
    <w:rsid w:val="0085740D"/>
    <w:rsid w:val="00857641"/>
    <w:rsid w:val="00857B2A"/>
    <w:rsid w:val="00860273"/>
    <w:rsid w:val="00861187"/>
    <w:rsid w:val="00861A9A"/>
    <w:rsid w:val="00861BAD"/>
    <w:rsid w:val="00861BE2"/>
    <w:rsid w:val="00861D2B"/>
    <w:rsid w:val="00861F0C"/>
    <w:rsid w:val="008630F1"/>
    <w:rsid w:val="008641E7"/>
    <w:rsid w:val="00864A66"/>
    <w:rsid w:val="00864A79"/>
    <w:rsid w:val="0086575F"/>
    <w:rsid w:val="00866096"/>
    <w:rsid w:val="00866304"/>
    <w:rsid w:val="008663A8"/>
    <w:rsid w:val="0086680B"/>
    <w:rsid w:val="008675C0"/>
    <w:rsid w:val="008677E7"/>
    <w:rsid w:val="00867F32"/>
    <w:rsid w:val="00870218"/>
    <w:rsid w:val="00870A5F"/>
    <w:rsid w:val="00870EE7"/>
    <w:rsid w:val="00870F94"/>
    <w:rsid w:val="00871226"/>
    <w:rsid w:val="00871346"/>
    <w:rsid w:val="0087138E"/>
    <w:rsid w:val="008716C6"/>
    <w:rsid w:val="00871B50"/>
    <w:rsid w:val="00871EBA"/>
    <w:rsid w:val="00871EFC"/>
    <w:rsid w:val="00872952"/>
    <w:rsid w:val="00872974"/>
    <w:rsid w:val="00872BE3"/>
    <w:rsid w:val="008737B3"/>
    <w:rsid w:val="00873DEC"/>
    <w:rsid w:val="00873E81"/>
    <w:rsid w:val="008744E1"/>
    <w:rsid w:val="00874AE7"/>
    <w:rsid w:val="00874EB7"/>
    <w:rsid w:val="00875701"/>
    <w:rsid w:val="00876203"/>
    <w:rsid w:val="008769FB"/>
    <w:rsid w:val="00876BBA"/>
    <w:rsid w:val="00876D6B"/>
    <w:rsid w:val="008771C5"/>
    <w:rsid w:val="00881BE0"/>
    <w:rsid w:val="00881D2F"/>
    <w:rsid w:val="00882721"/>
    <w:rsid w:val="00883082"/>
    <w:rsid w:val="0088309B"/>
    <w:rsid w:val="0088409E"/>
    <w:rsid w:val="008840D3"/>
    <w:rsid w:val="00884C0B"/>
    <w:rsid w:val="00885411"/>
    <w:rsid w:val="00885A66"/>
    <w:rsid w:val="00885AA6"/>
    <w:rsid w:val="00885C01"/>
    <w:rsid w:val="008867D7"/>
    <w:rsid w:val="00887AD8"/>
    <w:rsid w:val="00887CB7"/>
    <w:rsid w:val="00890294"/>
    <w:rsid w:val="0089074A"/>
    <w:rsid w:val="008907D0"/>
    <w:rsid w:val="00891182"/>
    <w:rsid w:val="00892014"/>
    <w:rsid w:val="008929D7"/>
    <w:rsid w:val="0089327D"/>
    <w:rsid w:val="00893666"/>
    <w:rsid w:val="00893840"/>
    <w:rsid w:val="00893917"/>
    <w:rsid w:val="00893E32"/>
    <w:rsid w:val="008941E2"/>
    <w:rsid w:val="008946BC"/>
    <w:rsid w:val="008952FE"/>
    <w:rsid w:val="0089530E"/>
    <w:rsid w:val="00895401"/>
    <w:rsid w:val="0089586F"/>
    <w:rsid w:val="00895904"/>
    <w:rsid w:val="00895C2F"/>
    <w:rsid w:val="008964A6"/>
    <w:rsid w:val="00896AEF"/>
    <w:rsid w:val="00896CD7"/>
    <w:rsid w:val="00896D6F"/>
    <w:rsid w:val="00896D8C"/>
    <w:rsid w:val="00896FEF"/>
    <w:rsid w:val="00897187"/>
    <w:rsid w:val="008978F7"/>
    <w:rsid w:val="008A016D"/>
    <w:rsid w:val="008A032C"/>
    <w:rsid w:val="008A0F0B"/>
    <w:rsid w:val="008A138D"/>
    <w:rsid w:val="008A19C5"/>
    <w:rsid w:val="008A390E"/>
    <w:rsid w:val="008A3B66"/>
    <w:rsid w:val="008A45DE"/>
    <w:rsid w:val="008A4DB8"/>
    <w:rsid w:val="008A4E12"/>
    <w:rsid w:val="008A552B"/>
    <w:rsid w:val="008A5975"/>
    <w:rsid w:val="008A5CF7"/>
    <w:rsid w:val="008A5DF9"/>
    <w:rsid w:val="008A60DB"/>
    <w:rsid w:val="008A678E"/>
    <w:rsid w:val="008A6E61"/>
    <w:rsid w:val="008A7606"/>
    <w:rsid w:val="008A7FDC"/>
    <w:rsid w:val="008B04F7"/>
    <w:rsid w:val="008B06D9"/>
    <w:rsid w:val="008B0D48"/>
    <w:rsid w:val="008B19BA"/>
    <w:rsid w:val="008B1B9A"/>
    <w:rsid w:val="008B23D7"/>
    <w:rsid w:val="008B2C03"/>
    <w:rsid w:val="008B393A"/>
    <w:rsid w:val="008B400F"/>
    <w:rsid w:val="008B4640"/>
    <w:rsid w:val="008B47BE"/>
    <w:rsid w:val="008B488E"/>
    <w:rsid w:val="008B4E0D"/>
    <w:rsid w:val="008B514A"/>
    <w:rsid w:val="008B5DFB"/>
    <w:rsid w:val="008B7341"/>
    <w:rsid w:val="008B7C12"/>
    <w:rsid w:val="008B7EAD"/>
    <w:rsid w:val="008C000A"/>
    <w:rsid w:val="008C0DB6"/>
    <w:rsid w:val="008C24A7"/>
    <w:rsid w:val="008C2566"/>
    <w:rsid w:val="008C2B90"/>
    <w:rsid w:val="008C31ED"/>
    <w:rsid w:val="008C3245"/>
    <w:rsid w:val="008C324E"/>
    <w:rsid w:val="008C3F82"/>
    <w:rsid w:val="008C4149"/>
    <w:rsid w:val="008C4507"/>
    <w:rsid w:val="008C4C19"/>
    <w:rsid w:val="008C4DE6"/>
    <w:rsid w:val="008C4DEA"/>
    <w:rsid w:val="008C658A"/>
    <w:rsid w:val="008C7CD3"/>
    <w:rsid w:val="008C7DEE"/>
    <w:rsid w:val="008D0BEF"/>
    <w:rsid w:val="008D10F4"/>
    <w:rsid w:val="008D1CF2"/>
    <w:rsid w:val="008D1F91"/>
    <w:rsid w:val="008D2304"/>
    <w:rsid w:val="008D410D"/>
    <w:rsid w:val="008D5088"/>
    <w:rsid w:val="008D5933"/>
    <w:rsid w:val="008D5BF4"/>
    <w:rsid w:val="008D5CB1"/>
    <w:rsid w:val="008D5DF3"/>
    <w:rsid w:val="008D5E4D"/>
    <w:rsid w:val="008D5FA5"/>
    <w:rsid w:val="008D60C2"/>
    <w:rsid w:val="008D6B23"/>
    <w:rsid w:val="008D7CF8"/>
    <w:rsid w:val="008D7D29"/>
    <w:rsid w:val="008D7FD2"/>
    <w:rsid w:val="008E0094"/>
    <w:rsid w:val="008E0368"/>
    <w:rsid w:val="008E0BC9"/>
    <w:rsid w:val="008E1403"/>
    <w:rsid w:val="008E17B5"/>
    <w:rsid w:val="008E1CCB"/>
    <w:rsid w:val="008E1F1F"/>
    <w:rsid w:val="008E20D1"/>
    <w:rsid w:val="008E3C6D"/>
    <w:rsid w:val="008E3D5E"/>
    <w:rsid w:val="008E4328"/>
    <w:rsid w:val="008E43ED"/>
    <w:rsid w:val="008E43F9"/>
    <w:rsid w:val="008E483D"/>
    <w:rsid w:val="008E4D14"/>
    <w:rsid w:val="008E50E2"/>
    <w:rsid w:val="008E5150"/>
    <w:rsid w:val="008E58CD"/>
    <w:rsid w:val="008E5E9B"/>
    <w:rsid w:val="008E6ED4"/>
    <w:rsid w:val="008E72A4"/>
    <w:rsid w:val="008E7470"/>
    <w:rsid w:val="008E7A07"/>
    <w:rsid w:val="008E7C2B"/>
    <w:rsid w:val="008F00F7"/>
    <w:rsid w:val="008F0691"/>
    <w:rsid w:val="008F0F34"/>
    <w:rsid w:val="008F1D57"/>
    <w:rsid w:val="008F2EB8"/>
    <w:rsid w:val="008F386D"/>
    <w:rsid w:val="008F3A81"/>
    <w:rsid w:val="008F4D7F"/>
    <w:rsid w:val="008F546D"/>
    <w:rsid w:val="008F5491"/>
    <w:rsid w:val="008F54DB"/>
    <w:rsid w:val="008F68E6"/>
    <w:rsid w:val="008F6922"/>
    <w:rsid w:val="008F6FB5"/>
    <w:rsid w:val="008F713A"/>
    <w:rsid w:val="0090017F"/>
    <w:rsid w:val="009003AF"/>
    <w:rsid w:val="009006E4"/>
    <w:rsid w:val="00901068"/>
    <w:rsid w:val="00901741"/>
    <w:rsid w:val="00901C5C"/>
    <w:rsid w:val="00901F84"/>
    <w:rsid w:val="00902198"/>
    <w:rsid w:val="009026EC"/>
    <w:rsid w:val="00902715"/>
    <w:rsid w:val="00902795"/>
    <w:rsid w:val="00902804"/>
    <w:rsid w:val="00903008"/>
    <w:rsid w:val="009039E0"/>
    <w:rsid w:val="00903C2A"/>
    <w:rsid w:val="00903CCB"/>
    <w:rsid w:val="00903F9A"/>
    <w:rsid w:val="009042FF"/>
    <w:rsid w:val="009043FF"/>
    <w:rsid w:val="009048F9"/>
    <w:rsid w:val="00904D0D"/>
    <w:rsid w:val="00904D27"/>
    <w:rsid w:val="00904D48"/>
    <w:rsid w:val="009052EA"/>
    <w:rsid w:val="009057C4"/>
    <w:rsid w:val="009065B1"/>
    <w:rsid w:val="00906D1D"/>
    <w:rsid w:val="009078EB"/>
    <w:rsid w:val="00910B6D"/>
    <w:rsid w:val="00911739"/>
    <w:rsid w:val="00911A56"/>
    <w:rsid w:val="00911A9D"/>
    <w:rsid w:val="00911BEF"/>
    <w:rsid w:val="0091294A"/>
    <w:rsid w:val="00912A2F"/>
    <w:rsid w:val="00912B97"/>
    <w:rsid w:val="00912CEC"/>
    <w:rsid w:val="00912F61"/>
    <w:rsid w:val="00913350"/>
    <w:rsid w:val="009142DD"/>
    <w:rsid w:val="00914892"/>
    <w:rsid w:val="00914B72"/>
    <w:rsid w:val="0091528F"/>
    <w:rsid w:val="009160FB"/>
    <w:rsid w:val="009168C5"/>
    <w:rsid w:val="00916F1A"/>
    <w:rsid w:val="00916F63"/>
    <w:rsid w:val="00917325"/>
    <w:rsid w:val="009200AE"/>
    <w:rsid w:val="009203FA"/>
    <w:rsid w:val="00920698"/>
    <w:rsid w:val="00920F68"/>
    <w:rsid w:val="009213CE"/>
    <w:rsid w:val="0092149B"/>
    <w:rsid w:val="00921855"/>
    <w:rsid w:val="00921E06"/>
    <w:rsid w:val="00922064"/>
    <w:rsid w:val="00922A40"/>
    <w:rsid w:val="00922ACC"/>
    <w:rsid w:val="00922CC0"/>
    <w:rsid w:val="00923178"/>
    <w:rsid w:val="0092348F"/>
    <w:rsid w:val="0092396F"/>
    <w:rsid w:val="00923B2F"/>
    <w:rsid w:val="0092417D"/>
    <w:rsid w:val="00924F5A"/>
    <w:rsid w:val="0092594F"/>
    <w:rsid w:val="00925C49"/>
    <w:rsid w:val="00926711"/>
    <w:rsid w:val="0092674D"/>
    <w:rsid w:val="0092699C"/>
    <w:rsid w:val="0092744C"/>
    <w:rsid w:val="009307A9"/>
    <w:rsid w:val="00931036"/>
    <w:rsid w:val="009317D3"/>
    <w:rsid w:val="009318E5"/>
    <w:rsid w:val="00931A83"/>
    <w:rsid w:val="00931AD5"/>
    <w:rsid w:val="00931D35"/>
    <w:rsid w:val="00931FBA"/>
    <w:rsid w:val="0093208B"/>
    <w:rsid w:val="00932525"/>
    <w:rsid w:val="009327F9"/>
    <w:rsid w:val="009328C6"/>
    <w:rsid w:val="00932A2C"/>
    <w:rsid w:val="00933834"/>
    <w:rsid w:val="00933E30"/>
    <w:rsid w:val="009348A6"/>
    <w:rsid w:val="00935156"/>
    <w:rsid w:val="00935241"/>
    <w:rsid w:val="0093634C"/>
    <w:rsid w:val="0093659F"/>
    <w:rsid w:val="0093688A"/>
    <w:rsid w:val="00936B0A"/>
    <w:rsid w:val="009379A1"/>
    <w:rsid w:val="00937B36"/>
    <w:rsid w:val="00937BAE"/>
    <w:rsid w:val="009401EA"/>
    <w:rsid w:val="00940212"/>
    <w:rsid w:val="009407FB"/>
    <w:rsid w:val="00940EC7"/>
    <w:rsid w:val="00941A58"/>
    <w:rsid w:val="00941CB7"/>
    <w:rsid w:val="00942B4F"/>
    <w:rsid w:val="00942D88"/>
    <w:rsid w:val="00942E10"/>
    <w:rsid w:val="00943357"/>
    <w:rsid w:val="009435B4"/>
    <w:rsid w:val="0094467F"/>
    <w:rsid w:val="00944CD7"/>
    <w:rsid w:val="00944E67"/>
    <w:rsid w:val="00945114"/>
    <w:rsid w:val="00945137"/>
    <w:rsid w:val="0094535F"/>
    <w:rsid w:val="00945812"/>
    <w:rsid w:val="00945F0A"/>
    <w:rsid w:val="00946580"/>
    <w:rsid w:val="009467F2"/>
    <w:rsid w:val="0094682A"/>
    <w:rsid w:val="0094691B"/>
    <w:rsid w:val="00946931"/>
    <w:rsid w:val="009475BB"/>
    <w:rsid w:val="009479F9"/>
    <w:rsid w:val="00947ECB"/>
    <w:rsid w:val="00947EE9"/>
    <w:rsid w:val="009502C0"/>
    <w:rsid w:val="009502C7"/>
    <w:rsid w:val="00950B94"/>
    <w:rsid w:val="00950C56"/>
    <w:rsid w:val="009517C2"/>
    <w:rsid w:val="00951F2C"/>
    <w:rsid w:val="00951F2D"/>
    <w:rsid w:val="009527B6"/>
    <w:rsid w:val="00952B16"/>
    <w:rsid w:val="00952C3B"/>
    <w:rsid w:val="00952D7C"/>
    <w:rsid w:val="0095348F"/>
    <w:rsid w:val="0095385C"/>
    <w:rsid w:val="00953E0C"/>
    <w:rsid w:val="00953FF1"/>
    <w:rsid w:val="00954990"/>
    <w:rsid w:val="00954C89"/>
    <w:rsid w:val="009553F4"/>
    <w:rsid w:val="0095565A"/>
    <w:rsid w:val="00955BD1"/>
    <w:rsid w:val="00955D18"/>
    <w:rsid w:val="009563D3"/>
    <w:rsid w:val="0095644B"/>
    <w:rsid w:val="009571A0"/>
    <w:rsid w:val="00957396"/>
    <w:rsid w:val="00957920"/>
    <w:rsid w:val="00957934"/>
    <w:rsid w:val="0096028B"/>
    <w:rsid w:val="00961032"/>
    <w:rsid w:val="00961918"/>
    <w:rsid w:val="00961D6A"/>
    <w:rsid w:val="00961DCA"/>
    <w:rsid w:val="0096226B"/>
    <w:rsid w:val="00962415"/>
    <w:rsid w:val="0096247E"/>
    <w:rsid w:val="009625E0"/>
    <w:rsid w:val="00963BDF"/>
    <w:rsid w:val="00963EC6"/>
    <w:rsid w:val="00964A24"/>
    <w:rsid w:val="009655ED"/>
    <w:rsid w:val="00965AF7"/>
    <w:rsid w:val="009663F5"/>
    <w:rsid w:val="00966795"/>
    <w:rsid w:val="00966829"/>
    <w:rsid w:val="0096683D"/>
    <w:rsid w:val="009668EF"/>
    <w:rsid w:val="0096740D"/>
    <w:rsid w:val="00967464"/>
    <w:rsid w:val="009677D7"/>
    <w:rsid w:val="00970105"/>
    <w:rsid w:val="00970231"/>
    <w:rsid w:val="00970301"/>
    <w:rsid w:val="00970E57"/>
    <w:rsid w:val="0097177D"/>
    <w:rsid w:val="00971F36"/>
    <w:rsid w:val="00972155"/>
    <w:rsid w:val="009729A2"/>
    <w:rsid w:val="00972BE6"/>
    <w:rsid w:val="0097398D"/>
    <w:rsid w:val="00973CAA"/>
    <w:rsid w:val="009740BC"/>
    <w:rsid w:val="00974366"/>
    <w:rsid w:val="009743A7"/>
    <w:rsid w:val="0097467A"/>
    <w:rsid w:val="009747C7"/>
    <w:rsid w:val="009755DD"/>
    <w:rsid w:val="00975603"/>
    <w:rsid w:val="00975789"/>
    <w:rsid w:val="00975898"/>
    <w:rsid w:val="00975C9A"/>
    <w:rsid w:val="009761AA"/>
    <w:rsid w:val="00976A93"/>
    <w:rsid w:val="00976F42"/>
    <w:rsid w:val="009772FC"/>
    <w:rsid w:val="00977796"/>
    <w:rsid w:val="009777AE"/>
    <w:rsid w:val="00977BDD"/>
    <w:rsid w:val="009806D3"/>
    <w:rsid w:val="009809EA"/>
    <w:rsid w:val="0098101C"/>
    <w:rsid w:val="009810FE"/>
    <w:rsid w:val="00981186"/>
    <w:rsid w:val="009818A9"/>
    <w:rsid w:val="00981A1D"/>
    <w:rsid w:val="00981C92"/>
    <w:rsid w:val="00981D38"/>
    <w:rsid w:val="00982268"/>
    <w:rsid w:val="00982BDD"/>
    <w:rsid w:val="00982D29"/>
    <w:rsid w:val="00982E40"/>
    <w:rsid w:val="00983A5E"/>
    <w:rsid w:val="00984345"/>
    <w:rsid w:val="00984380"/>
    <w:rsid w:val="0098491C"/>
    <w:rsid w:val="00984B20"/>
    <w:rsid w:val="00984BBE"/>
    <w:rsid w:val="0098547C"/>
    <w:rsid w:val="00985707"/>
    <w:rsid w:val="0098622A"/>
    <w:rsid w:val="009864F3"/>
    <w:rsid w:val="0098655A"/>
    <w:rsid w:val="00986BB4"/>
    <w:rsid w:val="00987A78"/>
    <w:rsid w:val="00987A7C"/>
    <w:rsid w:val="00987B73"/>
    <w:rsid w:val="009900DB"/>
    <w:rsid w:val="00990189"/>
    <w:rsid w:val="00990CE5"/>
    <w:rsid w:val="00991119"/>
    <w:rsid w:val="0099143A"/>
    <w:rsid w:val="0099183A"/>
    <w:rsid w:val="00991A70"/>
    <w:rsid w:val="00991C65"/>
    <w:rsid w:val="00992569"/>
    <w:rsid w:val="00992606"/>
    <w:rsid w:val="00992C82"/>
    <w:rsid w:val="00993747"/>
    <w:rsid w:val="00993C30"/>
    <w:rsid w:val="00993F1E"/>
    <w:rsid w:val="00994908"/>
    <w:rsid w:val="00994E5E"/>
    <w:rsid w:val="0099503A"/>
    <w:rsid w:val="00995480"/>
    <w:rsid w:val="0099600E"/>
    <w:rsid w:val="009966A3"/>
    <w:rsid w:val="00996882"/>
    <w:rsid w:val="00996C11"/>
    <w:rsid w:val="0099750E"/>
    <w:rsid w:val="009976CF"/>
    <w:rsid w:val="00997C33"/>
    <w:rsid w:val="009A01DD"/>
    <w:rsid w:val="009A06AF"/>
    <w:rsid w:val="009A0ED3"/>
    <w:rsid w:val="009A12D0"/>
    <w:rsid w:val="009A1ABC"/>
    <w:rsid w:val="009A1C52"/>
    <w:rsid w:val="009A22F3"/>
    <w:rsid w:val="009A3B8B"/>
    <w:rsid w:val="009A449F"/>
    <w:rsid w:val="009A4BAF"/>
    <w:rsid w:val="009A520D"/>
    <w:rsid w:val="009A52CC"/>
    <w:rsid w:val="009A54AF"/>
    <w:rsid w:val="009A674B"/>
    <w:rsid w:val="009A73D8"/>
    <w:rsid w:val="009A7576"/>
    <w:rsid w:val="009A7F68"/>
    <w:rsid w:val="009B02F0"/>
    <w:rsid w:val="009B04F5"/>
    <w:rsid w:val="009B0690"/>
    <w:rsid w:val="009B0D65"/>
    <w:rsid w:val="009B0EFD"/>
    <w:rsid w:val="009B219B"/>
    <w:rsid w:val="009B21A6"/>
    <w:rsid w:val="009B21DF"/>
    <w:rsid w:val="009B23C1"/>
    <w:rsid w:val="009B2657"/>
    <w:rsid w:val="009B30E1"/>
    <w:rsid w:val="009B3266"/>
    <w:rsid w:val="009B34B8"/>
    <w:rsid w:val="009B42C6"/>
    <w:rsid w:val="009B4724"/>
    <w:rsid w:val="009B50B9"/>
    <w:rsid w:val="009B5602"/>
    <w:rsid w:val="009B5959"/>
    <w:rsid w:val="009B59FF"/>
    <w:rsid w:val="009B6133"/>
    <w:rsid w:val="009B684B"/>
    <w:rsid w:val="009B6A00"/>
    <w:rsid w:val="009C0066"/>
    <w:rsid w:val="009C0B21"/>
    <w:rsid w:val="009C1802"/>
    <w:rsid w:val="009C1A78"/>
    <w:rsid w:val="009C2348"/>
    <w:rsid w:val="009C2F66"/>
    <w:rsid w:val="009C3104"/>
    <w:rsid w:val="009C4451"/>
    <w:rsid w:val="009C44B4"/>
    <w:rsid w:val="009C4704"/>
    <w:rsid w:val="009C502D"/>
    <w:rsid w:val="009C5099"/>
    <w:rsid w:val="009C5EB8"/>
    <w:rsid w:val="009C6575"/>
    <w:rsid w:val="009C659F"/>
    <w:rsid w:val="009C6CCD"/>
    <w:rsid w:val="009C6FC2"/>
    <w:rsid w:val="009C7469"/>
    <w:rsid w:val="009C761F"/>
    <w:rsid w:val="009C7877"/>
    <w:rsid w:val="009D0428"/>
    <w:rsid w:val="009D05F1"/>
    <w:rsid w:val="009D0661"/>
    <w:rsid w:val="009D071E"/>
    <w:rsid w:val="009D0A17"/>
    <w:rsid w:val="009D0C5E"/>
    <w:rsid w:val="009D141C"/>
    <w:rsid w:val="009D148F"/>
    <w:rsid w:val="009D17A5"/>
    <w:rsid w:val="009D1945"/>
    <w:rsid w:val="009D1C5C"/>
    <w:rsid w:val="009D1CF0"/>
    <w:rsid w:val="009D1D1C"/>
    <w:rsid w:val="009D1DEF"/>
    <w:rsid w:val="009D230E"/>
    <w:rsid w:val="009D23CA"/>
    <w:rsid w:val="009D2662"/>
    <w:rsid w:val="009D2B32"/>
    <w:rsid w:val="009D33C9"/>
    <w:rsid w:val="009D3445"/>
    <w:rsid w:val="009D3618"/>
    <w:rsid w:val="009D3710"/>
    <w:rsid w:val="009D3E42"/>
    <w:rsid w:val="009D47F5"/>
    <w:rsid w:val="009D535B"/>
    <w:rsid w:val="009D57DC"/>
    <w:rsid w:val="009D5902"/>
    <w:rsid w:val="009D5EBB"/>
    <w:rsid w:val="009D6655"/>
    <w:rsid w:val="009D6898"/>
    <w:rsid w:val="009D72B1"/>
    <w:rsid w:val="009D77F4"/>
    <w:rsid w:val="009E0134"/>
    <w:rsid w:val="009E054F"/>
    <w:rsid w:val="009E0638"/>
    <w:rsid w:val="009E0CF7"/>
    <w:rsid w:val="009E0EA2"/>
    <w:rsid w:val="009E1404"/>
    <w:rsid w:val="009E1B24"/>
    <w:rsid w:val="009E1CAC"/>
    <w:rsid w:val="009E1D23"/>
    <w:rsid w:val="009E27A5"/>
    <w:rsid w:val="009E2B20"/>
    <w:rsid w:val="009E2D65"/>
    <w:rsid w:val="009E3070"/>
    <w:rsid w:val="009E39B7"/>
    <w:rsid w:val="009E3ACC"/>
    <w:rsid w:val="009E46A7"/>
    <w:rsid w:val="009E46BA"/>
    <w:rsid w:val="009E4B2E"/>
    <w:rsid w:val="009E5A58"/>
    <w:rsid w:val="009E5ADD"/>
    <w:rsid w:val="009E5B04"/>
    <w:rsid w:val="009E5B37"/>
    <w:rsid w:val="009E5BA5"/>
    <w:rsid w:val="009E5FE6"/>
    <w:rsid w:val="009E6007"/>
    <w:rsid w:val="009E684B"/>
    <w:rsid w:val="009E6951"/>
    <w:rsid w:val="009E6F23"/>
    <w:rsid w:val="009E735C"/>
    <w:rsid w:val="009E77C3"/>
    <w:rsid w:val="009F0254"/>
    <w:rsid w:val="009F046A"/>
    <w:rsid w:val="009F04BE"/>
    <w:rsid w:val="009F06A3"/>
    <w:rsid w:val="009F0956"/>
    <w:rsid w:val="009F0C0F"/>
    <w:rsid w:val="009F0F79"/>
    <w:rsid w:val="009F1235"/>
    <w:rsid w:val="009F1315"/>
    <w:rsid w:val="009F1367"/>
    <w:rsid w:val="009F19F2"/>
    <w:rsid w:val="009F1BB0"/>
    <w:rsid w:val="009F1F28"/>
    <w:rsid w:val="009F21BA"/>
    <w:rsid w:val="009F21D7"/>
    <w:rsid w:val="009F224D"/>
    <w:rsid w:val="009F22E4"/>
    <w:rsid w:val="009F24C4"/>
    <w:rsid w:val="009F2956"/>
    <w:rsid w:val="009F3E59"/>
    <w:rsid w:val="009F43FE"/>
    <w:rsid w:val="009F4472"/>
    <w:rsid w:val="009F47A4"/>
    <w:rsid w:val="009F47C6"/>
    <w:rsid w:val="009F4FEE"/>
    <w:rsid w:val="009F52D1"/>
    <w:rsid w:val="009F573B"/>
    <w:rsid w:val="009F5826"/>
    <w:rsid w:val="009F5D20"/>
    <w:rsid w:val="009F6269"/>
    <w:rsid w:val="009F691E"/>
    <w:rsid w:val="009F699F"/>
    <w:rsid w:val="009F6C01"/>
    <w:rsid w:val="009F6C2A"/>
    <w:rsid w:val="009F6C52"/>
    <w:rsid w:val="009F7CA8"/>
    <w:rsid w:val="00A001A0"/>
    <w:rsid w:val="00A00B80"/>
    <w:rsid w:val="00A00D12"/>
    <w:rsid w:val="00A00FD9"/>
    <w:rsid w:val="00A01585"/>
    <w:rsid w:val="00A02216"/>
    <w:rsid w:val="00A02307"/>
    <w:rsid w:val="00A024E1"/>
    <w:rsid w:val="00A02568"/>
    <w:rsid w:val="00A0270A"/>
    <w:rsid w:val="00A02E53"/>
    <w:rsid w:val="00A033A1"/>
    <w:rsid w:val="00A03D06"/>
    <w:rsid w:val="00A03E51"/>
    <w:rsid w:val="00A046D2"/>
    <w:rsid w:val="00A0484C"/>
    <w:rsid w:val="00A04B42"/>
    <w:rsid w:val="00A059CB"/>
    <w:rsid w:val="00A05BA6"/>
    <w:rsid w:val="00A05C47"/>
    <w:rsid w:val="00A0677F"/>
    <w:rsid w:val="00A069A2"/>
    <w:rsid w:val="00A06BA3"/>
    <w:rsid w:val="00A06D5A"/>
    <w:rsid w:val="00A06F74"/>
    <w:rsid w:val="00A06FA1"/>
    <w:rsid w:val="00A07819"/>
    <w:rsid w:val="00A0789F"/>
    <w:rsid w:val="00A0790D"/>
    <w:rsid w:val="00A1003A"/>
    <w:rsid w:val="00A1015B"/>
    <w:rsid w:val="00A10303"/>
    <w:rsid w:val="00A103DA"/>
    <w:rsid w:val="00A106D6"/>
    <w:rsid w:val="00A10953"/>
    <w:rsid w:val="00A10C60"/>
    <w:rsid w:val="00A11382"/>
    <w:rsid w:val="00A1143E"/>
    <w:rsid w:val="00A116F3"/>
    <w:rsid w:val="00A1225B"/>
    <w:rsid w:val="00A1282B"/>
    <w:rsid w:val="00A12BDA"/>
    <w:rsid w:val="00A12FE9"/>
    <w:rsid w:val="00A13072"/>
    <w:rsid w:val="00A134B2"/>
    <w:rsid w:val="00A13509"/>
    <w:rsid w:val="00A13EBA"/>
    <w:rsid w:val="00A13F1F"/>
    <w:rsid w:val="00A14F16"/>
    <w:rsid w:val="00A1569D"/>
    <w:rsid w:val="00A15D65"/>
    <w:rsid w:val="00A15FFD"/>
    <w:rsid w:val="00A16CCF"/>
    <w:rsid w:val="00A16FA7"/>
    <w:rsid w:val="00A17A7C"/>
    <w:rsid w:val="00A17E4B"/>
    <w:rsid w:val="00A20183"/>
    <w:rsid w:val="00A2031B"/>
    <w:rsid w:val="00A205A0"/>
    <w:rsid w:val="00A20797"/>
    <w:rsid w:val="00A207FB"/>
    <w:rsid w:val="00A20BB4"/>
    <w:rsid w:val="00A20D4B"/>
    <w:rsid w:val="00A21224"/>
    <w:rsid w:val="00A2133C"/>
    <w:rsid w:val="00A21AA0"/>
    <w:rsid w:val="00A21D23"/>
    <w:rsid w:val="00A21F5A"/>
    <w:rsid w:val="00A22337"/>
    <w:rsid w:val="00A22ED2"/>
    <w:rsid w:val="00A2398B"/>
    <w:rsid w:val="00A23B44"/>
    <w:rsid w:val="00A23C4B"/>
    <w:rsid w:val="00A23FE0"/>
    <w:rsid w:val="00A249C3"/>
    <w:rsid w:val="00A24CBB"/>
    <w:rsid w:val="00A24F66"/>
    <w:rsid w:val="00A251FC"/>
    <w:rsid w:val="00A2551F"/>
    <w:rsid w:val="00A25D2A"/>
    <w:rsid w:val="00A262EF"/>
    <w:rsid w:val="00A2670F"/>
    <w:rsid w:val="00A27022"/>
    <w:rsid w:val="00A27285"/>
    <w:rsid w:val="00A27506"/>
    <w:rsid w:val="00A27611"/>
    <w:rsid w:val="00A278E3"/>
    <w:rsid w:val="00A27982"/>
    <w:rsid w:val="00A27C57"/>
    <w:rsid w:val="00A30077"/>
    <w:rsid w:val="00A30724"/>
    <w:rsid w:val="00A308B6"/>
    <w:rsid w:val="00A31260"/>
    <w:rsid w:val="00A3150C"/>
    <w:rsid w:val="00A3192E"/>
    <w:rsid w:val="00A31DAB"/>
    <w:rsid w:val="00A3219B"/>
    <w:rsid w:val="00A32EF2"/>
    <w:rsid w:val="00A33219"/>
    <w:rsid w:val="00A337AE"/>
    <w:rsid w:val="00A338FF"/>
    <w:rsid w:val="00A33ECB"/>
    <w:rsid w:val="00A33F45"/>
    <w:rsid w:val="00A33F6E"/>
    <w:rsid w:val="00A33F7C"/>
    <w:rsid w:val="00A340D4"/>
    <w:rsid w:val="00A343BA"/>
    <w:rsid w:val="00A346C3"/>
    <w:rsid w:val="00A348FD"/>
    <w:rsid w:val="00A3497E"/>
    <w:rsid w:val="00A34C00"/>
    <w:rsid w:val="00A354B1"/>
    <w:rsid w:val="00A359FD"/>
    <w:rsid w:val="00A364AB"/>
    <w:rsid w:val="00A364B6"/>
    <w:rsid w:val="00A368C2"/>
    <w:rsid w:val="00A36AF7"/>
    <w:rsid w:val="00A37CBE"/>
    <w:rsid w:val="00A37E2B"/>
    <w:rsid w:val="00A40705"/>
    <w:rsid w:val="00A41251"/>
    <w:rsid w:val="00A41834"/>
    <w:rsid w:val="00A41A8B"/>
    <w:rsid w:val="00A41B31"/>
    <w:rsid w:val="00A41EB3"/>
    <w:rsid w:val="00A41FE8"/>
    <w:rsid w:val="00A4243A"/>
    <w:rsid w:val="00A424D6"/>
    <w:rsid w:val="00A4296C"/>
    <w:rsid w:val="00A42988"/>
    <w:rsid w:val="00A429B4"/>
    <w:rsid w:val="00A42E8D"/>
    <w:rsid w:val="00A437F8"/>
    <w:rsid w:val="00A43F90"/>
    <w:rsid w:val="00A4435A"/>
    <w:rsid w:val="00A44696"/>
    <w:rsid w:val="00A44F13"/>
    <w:rsid w:val="00A44F76"/>
    <w:rsid w:val="00A452B6"/>
    <w:rsid w:val="00A45339"/>
    <w:rsid w:val="00A45A5D"/>
    <w:rsid w:val="00A45D2E"/>
    <w:rsid w:val="00A46402"/>
    <w:rsid w:val="00A468B7"/>
    <w:rsid w:val="00A4746B"/>
    <w:rsid w:val="00A475CC"/>
    <w:rsid w:val="00A4782B"/>
    <w:rsid w:val="00A47EC2"/>
    <w:rsid w:val="00A5197A"/>
    <w:rsid w:val="00A51CF7"/>
    <w:rsid w:val="00A5258B"/>
    <w:rsid w:val="00A5283E"/>
    <w:rsid w:val="00A52CA8"/>
    <w:rsid w:val="00A53B53"/>
    <w:rsid w:val="00A5420D"/>
    <w:rsid w:val="00A54957"/>
    <w:rsid w:val="00A54C3F"/>
    <w:rsid w:val="00A54E86"/>
    <w:rsid w:val="00A55369"/>
    <w:rsid w:val="00A56361"/>
    <w:rsid w:val="00A5642D"/>
    <w:rsid w:val="00A56EFA"/>
    <w:rsid w:val="00A57031"/>
    <w:rsid w:val="00A57B06"/>
    <w:rsid w:val="00A60092"/>
    <w:rsid w:val="00A6027F"/>
    <w:rsid w:val="00A608BA"/>
    <w:rsid w:val="00A6108B"/>
    <w:rsid w:val="00A61678"/>
    <w:rsid w:val="00A61B2D"/>
    <w:rsid w:val="00A62EF9"/>
    <w:rsid w:val="00A6357C"/>
    <w:rsid w:val="00A6412B"/>
    <w:rsid w:val="00A6416C"/>
    <w:rsid w:val="00A6472E"/>
    <w:rsid w:val="00A647E3"/>
    <w:rsid w:val="00A649E7"/>
    <w:rsid w:val="00A651A5"/>
    <w:rsid w:val="00A65DE6"/>
    <w:rsid w:val="00A65FF9"/>
    <w:rsid w:val="00A668E2"/>
    <w:rsid w:val="00A66DD9"/>
    <w:rsid w:val="00A66F94"/>
    <w:rsid w:val="00A7026B"/>
    <w:rsid w:val="00A7078C"/>
    <w:rsid w:val="00A70D23"/>
    <w:rsid w:val="00A7134A"/>
    <w:rsid w:val="00A71C28"/>
    <w:rsid w:val="00A71D5E"/>
    <w:rsid w:val="00A72460"/>
    <w:rsid w:val="00A72B8E"/>
    <w:rsid w:val="00A72D77"/>
    <w:rsid w:val="00A73392"/>
    <w:rsid w:val="00A73657"/>
    <w:rsid w:val="00A73C3F"/>
    <w:rsid w:val="00A73F07"/>
    <w:rsid w:val="00A73F66"/>
    <w:rsid w:val="00A7403E"/>
    <w:rsid w:val="00A74042"/>
    <w:rsid w:val="00A741E8"/>
    <w:rsid w:val="00A75126"/>
    <w:rsid w:val="00A7555F"/>
    <w:rsid w:val="00A756FB"/>
    <w:rsid w:val="00A7585F"/>
    <w:rsid w:val="00A75DF8"/>
    <w:rsid w:val="00A76345"/>
    <w:rsid w:val="00A76472"/>
    <w:rsid w:val="00A76BDE"/>
    <w:rsid w:val="00A77134"/>
    <w:rsid w:val="00A77278"/>
    <w:rsid w:val="00A77495"/>
    <w:rsid w:val="00A775B7"/>
    <w:rsid w:val="00A77604"/>
    <w:rsid w:val="00A7792C"/>
    <w:rsid w:val="00A77A77"/>
    <w:rsid w:val="00A77FEC"/>
    <w:rsid w:val="00A806F9"/>
    <w:rsid w:val="00A80A4E"/>
    <w:rsid w:val="00A80EE2"/>
    <w:rsid w:val="00A82179"/>
    <w:rsid w:val="00A8236A"/>
    <w:rsid w:val="00A82589"/>
    <w:rsid w:val="00A82F87"/>
    <w:rsid w:val="00A83759"/>
    <w:rsid w:val="00A83C33"/>
    <w:rsid w:val="00A84126"/>
    <w:rsid w:val="00A84497"/>
    <w:rsid w:val="00A84EB2"/>
    <w:rsid w:val="00A859EB"/>
    <w:rsid w:val="00A85CC2"/>
    <w:rsid w:val="00A85CF8"/>
    <w:rsid w:val="00A86E06"/>
    <w:rsid w:val="00A870CA"/>
    <w:rsid w:val="00A87529"/>
    <w:rsid w:val="00A878D6"/>
    <w:rsid w:val="00A9036B"/>
    <w:rsid w:val="00A90A9B"/>
    <w:rsid w:val="00A90DCE"/>
    <w:rsid w:val="00A9183E"/>
    <w:rsid w:val="00A9211B"/>
    <w:rsid w:val="00A921FF"/>
    <w:rsid w:val="00A9288C"/>
    <w:rsid w:val="00A92BFF"/>
    <w:rsid w:val="00A92C45"/>
    <w:rsid w:val="00A92DAC"/>
    <w:rsid w:val="00A937BB"/>
    <w:rsid w:val="00A93840"/>
    <w:rsid w:val="00A93DCE"/>
    <w:rsid w:val="00A93FB7"/>
    <w:rsid w:val="00A94992"/>
    <w:rsid w:val="00A9508B"/>
    <w:rsid w:val="00A95179"/>
    <w:rsid w:val="00A951DB"/>
    <w:rsid w:val="00A9561B"/>
    <w:rsid w:val="00A957F7"/>
    <w:rsid w:val="00A958A3"/>
    <w:rsid w:val="00A9663C"/>
    <w:rsid w:val="00A96803"/>
    <w:rsid w:val="00A9697B"/>
    <w:rsid w:val="00A97750"/>
    <w:rsid w:val="00A9776A"/>
    <w:rsid w:val="00A97789"/>
    <w:rsid w:val="00AA17C9"/>
    <w:rsid w:val="00AA1802"/>
    <w:rsid w:val="00AA1CDD"/>
    <w:rsid w:val="00AA27E9"/>
    <w:rsid w:val="00AA28B2"/>
    <w:rsid w:val="00AA2F06"/>
    <w:rsid w:val="00AA3482"/>
    <w:rsid w:val="00AA3D8C"/>
    <w:rsid w:val="00AA400B"/>
    <w:rsid w:val="00AA4279"/>
    <w:rsid w:val="00AA42BC"/>
    <w:rsid w:val="00AA4D5B"/>
    <w:rsid w:val="00AA5034"/>
    <w:rsid w:val="00AA522F"/>
    <w:rsid w:val="00AA5EF0"/>
    <w:rsid w:val="00AA6BAA"/>
    <w:rsid w:val="00AA6BC5"/>
    <w:rsid w:val="00AB1434"/>
    <w:rsid w:val="00AB1A24"/>
    <w:rsid w:val="00AB1B74"/>
    <w:rsid w:val="00AB203D"/>
    <w:rsid w:val="00AB22D2"/>
    <w:rsid w:val="00AB2C38"/>
    <w:rsid w:val="00AB2C3D"/>
    <w:rsid w:val="00AB34E3"/>
    <w:rsid w:val="00AB38AC"/>
    <w:rsid w:val="00AB41BC"/>
    <w:rsid w:val="00AB4434"/>
    <w:rsid w:val="00AB49E7"/>
    <w:rsid w:val="00AB5BD7"/>
    <w:rsid w:val="00AB6089"/>
    <w:rsid w:val="00AB6353"/>
    <w:rsid w:val="00AB698F"/>
    <w:rsid w:val="00AB69AF"/>
    <w:rsid w:val="00AB6C68"/>
    <w:rsid w:val="00AB707A"/>
    <w:rsid w:val="00AB71FC"/>
    <w:rsid w:val="00AB75C6"/>
    <w:rsid w:val="00AB7729"/>
    <w:rsid w:val="00AB7A55"/>
    <w:rsid w:val="00AB7FD4"/>
    <w:rsid w:val="00AC0273"/>
    <w:rsid w:val="00AC03D5"/>
    <w:rsid w:val="00AC0564"/>
    <w:rsid w:val="00AC1002"/>
    <w:rsid w:val="00AC1337"/>
    <w:rsid w:val="00AC14B5"/>
    <w:rsid w:val="00AC1762"/>
    <w:rsid w:val="00AC18DE"/>
    <w:rsid w:val="00AC1D43"/>
    <w:rsid w:val="00AC1E70"/>
    <w:rsid w:val="00AC25B8"/>
    <w:rsid w:val="00AC2B32"/>
    <w:rsid w:val="00AC3B78"/>
    <w:rsid w:val="00AC3E63"/>
    <w:rsid w:val="00AC44C3"/>
    <w:rsid w:val="00AC45CC"/>
    <w:rsid w:val="00AC466B"/>
    <w:rsid w:val="00AC48FC"/>
    <w:rsid w:val="00AC52B1"/>
    <w:rsid w:val="00AC536C"/>
    <w:rsid w:val="00AC56BA"/>
    <w:rsid w:val="00AC56D3"/>
    <w:rsid w:val="00AC6306"/>
    <w:rsid w:val="00AC6456"/>
    <w:rsid w:val="00AC66F5"/>
    <w:rsid w:val="00AC7143"/>
    <w:rsid w:val="00AC7712"/>
    <w:rsid w:val="00AC7A7D"/>
    <w:rsid w:val="00AC7ADB"/>
    <w:rsid w:val="00AC7C00"/>
    <w:rsid w:val="00AC7CED"/>
    <w:rsid w:val="00AD0821"/>
    <w:rsid w:val="00AD0955"/>
    <w:rsid w:val="00AD0C19"/>
    <w:rsid w:val="00AD1944"/>
    <w:rsid w:val="00AD1F2C"/>
    <w:rsid w:val="00AD22A3"/>
    <w:rsid w:val="00AD2520"/>
    <w:rsid w:val="00AD28AF"/>
    <w:rsid w:val="00AD2AB2"/>
    <w:rsid w:val="00AD3B84"/>
    <w:rsid w:val="00AD5650"/>
    <w:rsid w:val="00AD59B1"/>
    <w:rsid w:val="00AD5FF6"/>
    <w:rsid w:val="00AD6658"/>
    <w:rsid w:val="00AD68A2"/>
    <w:rsid w:val="00AD6C76"/>
    <w:rsid w:val="00AD708A"/>
    <w:rsid w:val="00AD7823"/>
    <w:rsid w:val="00AD7AD2"/>
    <w:rsid w:val="00AD7B43"/>
    <w:rsid w:val="00AD7BF1"/>
    <w:rsid w:val="00AD7D49"/>
    <w:rsid w:val="00AE016B"/>
    <w:rsid w:val="00AE07FB"/>
    <w:rsid w:val="00AE09E6"/>
    <w:rsid w:val="00AE1BB4"/>
    <w:rsid w:val="00AE231B"/>
    <w:rsid w:val="00AE26B1"/>
    <w:rsid w:val="00AE2B42"/>
    <w:rsid w:val="00AE2FB2"/>
    <w:rsid w:val="00AE32F5"/>
    <w:rsid w:val="00AE3784"/>
    <w:rsid w:val="00AE3B23"/>
    <w:rsid w:val="00AE3DCE"/>
    <w:rsid w:val="00AE46AD"/>
    <w:rsid w:val="00AE49E0"/>
    <w:rsid w:val="00AE4A76"/>
    <w:rsid w:val="00AE4CCB"/>
    <w:rsid w:val="00AE4D38"/>
    <w:rsid w:val="00AE4D61"/>
    <w:rsid w:val="00AE4F95"/>
    <w:rsid w:val="00AE5060"/>
    <w:rsid w:val="00AE5E31"/>
    <w:rsid w:val="00AE62B4"/>
    <w:rsid w:val="00AE6421"/>
    <w:rsid w:val="00AE6758"/>
    <w:rsid w:val="00AE675E"/>
    <w:rsid w:val="00AE6C76"/>
    <w:rsid w:val="00AE7050"/>
    <w:rsid w:val="00AE7898"/>
    <w:rsid w:val="00AF01E0"/>
    <w:rsid w:val="00AF04B5"/>
    <w:rsid w:val="00AF0A19"/>
    <w:rsid w:val="00AF0CCC"/>
    <w:rsid w:val="00AF14CF"/>
    <w:rsid w:val="00AF187F"/>
    <w:rsid w:val="00AF18DE"/>
    <w:rsid w:val="00AF18F9"/>
    <w:rsid w:val="00AF1A72"/>
    <w:rsid w:val="00AF1D6E"/>
    <w:rsid w:val="00AF1F36"/>
    <w:rsid w:val="00AF20B9"/>
    <w:rsid w:val="00AF264C"/>
    <w:rsid w:val="00AF3A0D"/>
    <w:rsid w:val="00AF3D34"/>
    <w:rsid w:val="00AF3E2E"/>
    <w:rsid w:val="00AF3E5F"/>
    <w:rsid w:val="00AF5238"/>
    <w:rsid w:val="00AF551C"/>
    <w:rsid w:val="00AF5D28"/>
    <w:rsid w:val="00AF5FBB"/>
    <w:rsid w:val="00AF60F5"/>
    <w:rsid w:val="00AF657B"/>
    <w:rsid w:val="00AF7583"/>
    <w:rsid w:val="00B000FE"/>
    <w:rsid w:val="00B00442"/>
    <w:rsid w:val="00B00D35"/>
    <w:rsid w:val="00B01286"/>
    <w:rsid w:val="00B01934"/>
    <w:rsid w:val="00B022A6"/>
    <w:rsid w:val="00B026A7"/>
    <w:rsid w:val="00B02A12"/>
    <w:rsid w:val="00B02D57"/>
    <w:rsid w:val="00B03040"/>
    <w:rsid w:val="00B03154"/>
    <w:rsid w:val="00B03936"/>
    <w:rsid w:val="00B03A8A"/>
    <w:rsid w:val="00B03CF9"/>
    <w:rsid w:val="00B03E14"/>
    <w:rsid w:val="00B03EA9"/>
    <w:rsid w:val="00B0439D"/>
    <w:rsid w:val="00B048FA"/>
    <w:rsid w:val="00B05357"/>
    <w:rsid w:val="00B05C5E"/>
    <w:rsid w:val="00B05E10"/>
    <w:rsid w:val="00B05FF7"/>
    <w:rsid w:val="00B0657A"/>
    <w:rsid w:val="00B066C2"/>
    <w:rsid w:val="00B1016A"/>
    <w:rsid w:val="00B101D1"/>
    <w:rsid w:val="00B10C02"/>
    <w:rsid w:val="00B11189"/>
    <w:rsid w:val="00B114B7"/>
    <w:rsid w:val="00B11D2F"/>
    <w:rsid w:val="00B11DBA"/>
    <w:rsid w:val="00B11E86"/>
    <w:rsid w:val="00B12225"/>
    <w:rsid w:val="00B122EB"/>
    <w:rsid w:val="00B12A02"/>
    <w:rsid w:val="00B12D5B"/>
    <w:rsid w:val="00B12EDC"/>
    <w:rsid w:val="00B13524"/>
    <w:rsid w:val="00B13725"/>
    <w:rsid w:val="00B1396B"/>
    <w:rsid w:val="00B13ADB"/>
    <w:rsid w:val="00B13B56"/>
    <w:rsid w:val="00B142DC"/>
    <w:rsid w:val="00B1461C"/>
    <w:rsid w:val="00B1519A"/>
    <w:rsid w:val="00B151DA"/>
    <w:rsid w:val="00B15B8D"/>
    <w:rsid w:val="00B15D22"/>
    <w:rsid w:val="00B16460"/>
    <w:rsid w:val="00B1706D"/>
    <w:rsid w:val="00B1711D"/>
    <w:rsid w:val="00B177F2"/>
    <w:rsid w:val="00B17976"/>
    <w:rsid w:val="00B2069F"/>
    <w:rsid w:val="00B21689"/>
    <w:rsid w:val="00B216A0"/>
    <w:rsid w:val="00B219A4"/>
    <w:rsid w:val="00B21A91"/>
    <w:rsid w:val="00B223A9"/>
    <w:rsid w:val="00B225D8"/>
    <w:rsid w:val="00B22A5E"/>
    <w:rsid w:val="00B22D91"/>
    <w:rsid w:val="00B230A1"/>
    <w:rsid w:val="00B23CF9"/>
    <w:rsid w:val="00B24099"/>
    <w:rsid w:val="00B2441D"/>
    <w:rsid w:val="00B24B47"/>
    <w:rsid w:val="00B24DAE"/>
    <w:rsid w:val="00B2505A"/>
    <w:rsid w:val="00B2519E"/>
    <w:rsid w:val="00B2553B"/>
    <w:rsid w:val="00B25E5C"/>
    <w:rsid w:val="00B26229"/>
    <w:rsid w:val="00B266A7"/>
    <w:rsid w:val="00B26E41"/>
    <w:rsid w:val="00B26E7B"/>
    <w:rsid w:val="00B2719C"/>
    <w:rsid w:val="00B27458"/>
    <w:rsid w:val="00B27875"/>
    <w:rsid w:val="00B279A8"/>
    <w:rsid w:val="00B300B6"/>
    <w:rsid w:val="00B3047E"/>
    <w:rsid w:val="00B30B60"/>
    <w:rsid w:val="00B30BA9"/>
    <w:rsid w:val="00B313A4"/>
    <w:rsid w:val="00B31499"/>
    <w:rsid w:val="00B3153F"/>
    <w:rsid w:val="00B31BAA"/>
    <w:rsid w:val="00B31D6B"/>
    <w:rsid w:val="00B32271"/>
    <w:rsid w:val="00B32345"/>
    <w:rsid w:val="00B3391A"/>
    <w:rsid w:val="00B339F6"/>
    <w:rsid w:val="00B33FDB"/>
    <w:rsid w:val="00B34173"/>
    <w:rsid w:val="00B343AF"/>
    <w:rsid w:val="00B345B0"/>
    <w:rsid w:val="00B348F5"/>
    <w:rsid w:val="00B349F1"/>
    <w:rsid w:val="00B36172"/>
    <w:rsid w:val="00B364D3"/>
    <w:rsid w:val="00B36878"/>
    <w:rsid w:val="00B373B9"/>
    <w:rsid w:val="00B376AE"/>
    <w:rsid w:val="00B404D1"/>
    <w:rsid w:val="00B4087C"/>
    <w:rsid w:val="00B419D5"/>
    <w:rsid w:val="00B41B02"/>
    <w:rsid w:val="00B41E07"/>
    <w:rsid w:val="00B42930"/>
    <w:rsid w:val="00B42F1B"/>
    <w:rsid w:val="00B43B33"/>
    <w:rsid w:val="00B44110"/>
    <w:rsid w:val="00B441CA"/>
    <w:rsid w:val="00B44BCE"/>
    <w:rsid w:val="00B44F96"/>
    <w:rsid w:val="00B454E0"/>
    <w:rsid w:val="00B4585D"/>
    <w:rsid w:val="00B459C9"/>
    <w:rsid w:val="00B45C1E"/>
    <w:rsid w:val="00B46B22"/>
    <w:rsid w:val="00B46DFB"/>
    <w:rsid w:val="00B47852"/>
    <w:rsid w:val="00B47B3A"/>
    <w:rsid w:val="00B5006D"/>
    <w:rsid w:val="00B50BF8"/>
    <w:rsid w:val="00B51653"/>
    <w:rsid w:val="00B51920"/>
    <w:rsid w:val="00B51A17"/>
    <w:rsid w:val="00B51A27"/>
    <w:rsid w:val="00B51BF9"/>
    <w:rsid w:val="00B51D01"/>
    <w:rsid w:val="00B51D5C"/>
    <w:rsid w:val="00B52088"/>
    <w:rsid w:val="00B522C2"/>
    <w:rsid w:val="00B5242F"/>
    <w:rsid w:val="00B53EED"/>
    <w:rsid w:val="00B547D2"/>
    <w:rsid w:val="00B54951"/>
    <w:rsid w:val="00B54D87"/>
    <w:rsid w:val="00B54F0D"/>
    <w:rsid w:val="00B55218"/>
    <w:rsid w:val="00B55A3B"/>
    <w:rsid w:val="00B55A58"/>
    <w:rsid w:val="00B55B4A"/>
    <w:rsid w:val="00B55B6F"/>
    <w:rsid w:val="00B561D7"/>
    <w:rsid w:val="00B56874"/>
    <w:rsid w:val="00B56F8A"/>
    <w:rsid w:val="00B570EA"/>
    <w:rsid w:val="00B57656"/>
    <w:rsid w:val="00B60009"/>
    <w:rsid w:val="00B6000A"/>
    <w:rsid w:val="00B601C4"/>
    <w:rsid w:val="00B6031B"/>
    <w:rsid w:val="00B60793"/>
    <w:rsid w:val="00B60D81"/>
    <w:rsid w:val="00B613CF"/>
    <w:rsid w:val="00B61765"/>
    <w:rsid w:val="00B61783"/>
    <w:rsid w:val="00B61A4B"/>
    <w:rsid w:val="00B62360"/>
    <w:rsid w:val="00B627EE"/>
    <w:rsid w:val="00B63056"/>
    <w:rsid w:val="00B6311D"/>
    <w:rsid w:val="00B6339E"/>
    <w:rsid w:val="00B63E1E"/>
    <w:rsid w:val="00B63F41"/>
    <w:rsid w:val="00B6481F"/>
    <w:rsid w:val="00B64FD0"/>
    <w:rsid w:val="00B65456"/>
    <w:rsid w:val="00B65816"/>
    <w:rsid w:val="00B66A90"/>
    <w:rsid w:val="00B67D96"/>
    <w:rsid w:val="00B70809"/>
    <w:rsid w:val="00B70BBD"/>
    <w:rsid w:val="00B71AE8"/>
    <w:rsid w:val="00B72647"/>
    <w:rsid w:val="00B72931"/>
    <w:rsid w:val="00B735FF"/>
    <w:rsid w:val="00B73B01"/>
    <w:rsid w:val="00B73C98"/>
    <w:rsid w:val="00B7437E"/>
    <w:rsid w:val="00B74418"/>
    <w:rsid w:val="00B74469"/>
    <w:rsid w:val="00B748B8"/>
    <w:rsid w:val="00B758F0"/>
    <w:rsid w:val="00B75D44"/>
    <w:rsid w:val="00B7614F"/>
    <w:rsid w:val="00B76664"/>
    <w:rsid w:val="00B767F5"/>
    <w:rsid w:val="00B76A38"/>
    <w:rsid w:val="00B77652"/>
    <w:rsid w:val="00B776D5"/>
    <w:rsid w:val="00B77FA5"/>
    <w:rsid w:val="00B80590"/>
    <w:rsid w:val="00B808F5"/>
    <w:rsid w:val="00B818E9"/>
    <w:rsid w:val="00B82081"/>
    <w:rsid w:val="00B820F7"/>
    <w:rsid w:val="00B826E7"/>
    <w:rsid w:val="00B82B46"/>
    <w:rsid w:val="00B82F7E"/>
    <w:rsid w:val="00B83907"/>
    <w:rsid w:val="00B83C93"/>
    <w:rsid w:val="00B83F6D"/>
    <w:rsid w:val="00B841BD"/>
    <w:rsid w:val="00B847EB"/>
    <w:rsid w:val="00B84BCF"/>
    <w:rsid w:val="00B84D5D"/>
    <w:rsid w:val="00B854C6"/>
    <w:rsid w:val="00B855ED"/>
    <w:rsid w:val="00B857DE"/>
    <w:rsid w:val="00B86322"/>
    <w:rsid w:val="00B872BC"/>
    <w:rsid w:val="00B872F2"/>
    <w:rsid w:val="00B8745A"/>
    <w:rsid w:val="00B87E31"/>
    <w:rsid w:val="00B87FB9"/>
    <w:rsid w:val="00B9122F"/>
    <w:rsid w:val="00B91586"/>
    <w:rsid w:val="00B91A61"/>
    <w:rsid w:val="00B921A7"/>
    <w:rsid w:val="00B93540"/>
    <w:rsid w:val="00B93552"/>
    <w:rsid w:val="00B9367A"/>
    <w:rsid w:val="00B93CB9"/>
    <w:rsid w:val="00B93D52"/>
    <w:rsid w:val="00B93D77"/>
    <w:rsid w:val="00B941D0"/>
    <w:rsid w:val="00B94303"/>
    <w:rsid w:val="00B94CF1"/>
    <w:rsid w:val="00B950AC"/>
    <w:rsid w:val="00B950F8"/>
    <w:rsid w:val="00B95205"/>
    <w:rsid w:val="00B95AA4"/>
    <w:rsid w:val="00B96327"/>
    <w:rsid w:val="00B9655A"/>
    <w:rsid w:val="00B96B7E"/>
    <w:rsid w:val="00B96DCC"/>
    <w:rsid w:val="00B96EBD"/>
    <w:rsid w:val="00B97852"/>
    <w:rsid w:val="00BA0008"/>
    <w:rsid w:val="00BA0634"/>
    <w:rsid w:val="00BA0D9A"/>
    <w:rsid w:val="00BA1DB3"/>
    <w:rsid w:val="00BA1E2A"/>
    <w:rsid w:val="00BA2549"/>
    <w:rsid w:val="00BA26C6"/>
    <w:rsid w:val="00BA3579"/>
    <w:rsid w:val="00BA35A6"/>
    <w:rsid w:val="00BA423A"/>
    <w:rsid w:val="00BA44C8"/>
    <w:rsid w:val="00BA49B4"/>
    <w:rsid w:val="00BA4A10"/>
    <w:rsid w:val="00BA4A43"/>
    <w:rsid w:val="00BA4E65"/>
    <w:rsid w:val="00BA5DBF"/>
    <w:rsid w:val="00BA6132"/>
    <w:rsid w:val="00BA64AE"/>
    <w:rsid w:val="00BA6715"/>
    <w:rsid w:val="00BA6F42"/>
    <w:rsid w:val="00BA744C"/>
    <w:rsid w:val="00BA74B7"/>
    <w:rsid w:val="00BA7758"/>
    <w:rsid w:val="00BA7BCD"/>
    <w:rsid w:val="00BA7C6E"/>
    <w:rsid w:val="00BB0027"/>
    <w:rsid w:val="00BB055B"/>
    <w:rsid w:val="00BB059D"/>
    <w:rsid w:val="00BB0888"/>
    <w:rsid w:val="00BB0FC8"/>
    <w:rsid w:val="00BB1C36"/>
    <w:rsid w:val="00BB1FC3"/>
    <w:rsid w:val="00BB20E5"/>
    <w:rsid w:val="00BB2780"/>
    <w:rsid w:val="00BB2C96"/>
    <w:rsid w:val="00BB2F12"/>
    <w:rsid w:val="00BB2F5A"/>
    <w:rsid w:val="00BB3392"/>
    <w:rsid w:val="00BB400C"/>
    <w:rsid w:val="00BB4045"/>
    <w:rsid w:val="00BB435C"/>
    <w:rsid w:val="00BB43BA"/>
    <w:rsid w:val="00BB46EF"/>
    <w:rsid w:val="00BB5603"/>
    <w:rsid w:val="00BB60F3"/>
    <w:rsid w:val="00BB6954"/>
    <w:rsid w:val="00BB6E18"/>
    <w:rsid w:val="00BB7C21"/>
    <w:rsid w:val="00BB7E87"/>
    <w:rsid w:val="00BB7FA9"/>
    <w:rsid w:val="00BC02B1"/>
    <w:rsid w:val="00BC0432"/>
    <w:rsid w:val="00BC0BDF"/>
    <w:rsid w:val="00BC0ED9"/>
    <w:rsid w:val="00BC12BD"/>
    <w:rsid w:val="00BC1AE7"/>
    <w:rsid w:val="00BC21ED"/>
    <w:rsid w:val="00BC24A6"/>
    <w:rsid w:val="00BC2C3B"/>
    <w:rsid w:val="00BC32E1"/>
    <w:rsid w:val="00BC3452"/>
    <w:rsid w:val="00BC3770"/>
    <w:rsid w:val="00BC3899"/>
    <w:rsid w:val="00BC3FE3"/>
    <w:rsid w:val="00BC4004"/>
    <w:rsid w:val="00BC422D"/>
    <w:rsid w:val="00BC4341"/>
    <w:rsid w:val="00BC4CD8"/>
    <w:rsid w:val="00BC527D"/>
    <w:rsid w:val="00BC57FD"/>
    <w:rsid w:val="00BC5CD2"/>
    <w:rsid w:val="00BC5D38"/>
    <w:rsid w:val="00BC5ED8"/>
    <w:rsid w:val="00BC6047"/>
    <w:rsid w:val="00BC650C"/>
    <w:rsid w:val="00BC6D9B"/>
    <w:rsid w:val="00BC72C8"/>
    <w:rsid w:val="00BC7625"/>
    <w:rsid w:val="00BD0099"/>
    <w:rsid w:val="00BD0C01"/>
    <w:rsid w:val="00BD1188"/>
    <w:rsid w:val="00BD23A9"/>
    <w:rsid w:val="00BD23C1"/>
    <w:rsid w:val="00BD2AFD"/>
    <w:rsid w:val="00BD2EF6"/>
    <w:rsid w:val="00BD33CF"/>
    <w:rsid w:val="00BD3D0C"/>
    <w:rsid w:val="00BD4372"/>
    <w:rsid w:val="00BD4603"/>
    <w:rsid w:val="00BD4E23"/>
    <w:rsid w:val="00BD5526"/>
    <w:rsid w:val="00BD5613"/>
    <w:rsid w:val="00BD5985"/>
    <w:rsid w:val="00BD5ED4"/>
    <w:rsid w:val="00BD66D4"/>
    <w:rsid w:val="00BD6A47"/>
    <w:rsid w:val="00BD7582"/>
    <w:rsid w:val="00BD785E"/>
    <w:rsid w:val="00BD7895"/>
    <w:rsid w:val="00BD7E57"/>
    <w:rsid w:val="00BE0043"/>
    <w:rsid w:val="00BE0089"/>
    <w:rsid w:val="00BE0D64"/>
    <w:rsid w:val="00BE1937"/>
    <w:rsid w:val="00BE1B21"/>
    <w:rsid w:val="00BE1C67"/>
    <w:rsid w:val="00BE25AD"/>
    <w:rsid w:val="00BE2876"/>
    <w:rsid w:val="00BE3547"/>
    <w:rsid w:val="00BE398B"/>
    <w:rsid w:val="00BE3DC4"/>
    <w:rsid w:val="00BE4056"/>
    <w:rsid w:val="00BE5200"/>
    <w:rsid w:val="00BE53B2"/>
    <w:rsid w:val="00BE5B02"/>
    <w:rsid w:val="00BE6B8D"/>
    <w:rsid w:val="00BE7194"/>
    <w:rsid w:val="00BE71E5"/>
    <w:rsid w:val="00BE7AA7"/>
    <w:rsid w:val="00BE7B10"/>
    <w:rsid w:val="00BE7FE3"/>
    <w:rsid w:val="00BF03F6"/>
    <w:rsid w:val="00BF08D8"/>
    <w:rsid w:val="00BF0AAE"/>
    <w:rsid w:val="00BF0DB3"/>
    <w:rsid w:val="00BF12FF"/>
    <w:rsid w:val="00BF1DFA"/>
    <w:rsid w:val="00BF227D"/>
    <w:rsid w:val="00BF2473"/>
    <w:rsid w:val="00BF26E5"/>
    <w:rsid w:val="00BF34D8"/>
    <w:rsid w:val="00BF411B"/>
    <w:rsid w:val="00BF443E"/>
    <w:rsid w:val="00BF583C"/>
    <w:rsid w:val="00BF5CFE"/>
    <w:rsid w:val="00BF6005"/>
    <w:rsid w:val="00BF6698"/>
    <w:rsid w:val="00BF6E96"/>
    <w:rsid w:val="00BF7E7B"/>
    <w:rsid w:val="00C00066"/>
    <w:rsid w:val="00C00102"/>
    <w:rsid w:val="00C004AB"/>
    <w:rsid w:val="00C01378"/>
    <w:rsid w:val="00C01BE2"/>
    <w:rsid w:val="00C01D36"/>
    <w:rsid w:val="00C01FD3"/>
    <w:rsid w:val="00C02183"/>
    <w:rsid w:val="00C029E9"/>
    <w:rsid w:val="00C0304C"/>
    <w:rsid w:val="00C03894"/>
    <w:rsid w:val="00C03895"/>
    <w:rsid w:val="00C03B86"/>
    <w:rsid w:val="00C03F6F"/>
    <w:rsid w:val="00C041BC"/>
    <w:rsid w:val="00C0420B"/>
    <w:rsid w:val="00C04CEA"/>
    <w:rsid w:val="00C04F55"/>
    <w:rsid w:val="00C0517A"/>
    <w:rsid w:val="00C052BC"/>
    <w:rsid w:val="00C052D1"/>
    <w:rsid w:val="00C058DC"/>
    <w:rsid w:val="00C06E38"/>
    <w:rsid w:val="00C06F9D"/>
    <w:rsid w:val="00C06FDF"/>
    <w:rsid w:val="00C078BF"/>
    <w:rsid w:val="00C07DAA"/>
    <w:rsid w:val="00C07FCE"/>
    <w:rsid w:val="00C102D4"/>
    <w:rsid w:val="00C10562"/>
    <w:rsid w:val="00C10A7F"/>
    <w:rsid w:val="00C10EBF"/>
    <w:rsid w:val="00C117FA"/>
    <w:rsid w:val="00C11E58"/>
    <w:rsid w:val="00C12022"/>
    <w:rsid w:val="00C12348"/>
    <w:rsid w:val="00C12DC2"/>
    <w:rsid w:val="00C13A18"/>
    <w:rsid w:val="00C13B64"/>
    <w:rsid w:val="00C13D3E"/>
    <w:rsid w:val="00C1474E"/>
    <w:rsid w:val="00C147B4"/>
    <w:rsid w:val="00C14A92"/>
    <w:rsid w:val="00C14F08"/>
    <w:rsid w:val="00C161DC"/>
    <w:rsid w:val="00C164C6"/>
    <w:rsid w:val="00C16722"/>
    <w:rsid w:val="00C16C5E"/>
    <w:rsid w:val="00C17194"/>
    <w:rsid w:val="00C17239"/>
    <w:rsid w:val="00C17981"/>
    <w:rsid w:val="00C17A03"/>
    <w:rsid w:val="00C17A66"/>
    <w:rsid w:val="00C17E05"/>
    <w:rsid w:val="00C20C9D"/>
    <w:rsid w:val="00C2161D"/>
    <w:rsid w:val="00C21E55"/>
    <w:rsid w:val="00C2219A"/>
    <w:rsid w:val="00C221E3"/>
    <w:rsid w:val="00C2226A"/>
    <w:rsid w:val="00C228F9"/>
    <w:rsid w:val="00C22A03"/>
    <w:rsid w:val="00C241D1"/>
    <w:rsid w:val="00C24265"/>
    <w:rsid w:val="00C243DE"/>
    <w:rsid w:val="00C24A51"/>
    <w:rsid w:val="00C24CBE"/>
    <w:rsid w:val="00C25602"/>
    <w:rsid w:val="00C25B7E"/>
    <w:rsid w:val="00C26209"/>
    <w:rsid w:val="00C27531"/>
    <w:rsid w:val="00C27638"/>
    <w:rsid w:val="00C27AE0"/>
    <w:rsid w:val="00C305A7"/>
    <w:rsid w:val="00C30920"/>
    <w:rsid w:val="00C30B55"/>
    <w:rsid w:val="00C3169D"/>
    <w:rsid w:val="00C316D6"/>
    <w:rsid w:val="00C322BF"/>
    <w:rsid w:val="00C32B1E"/>
    <w:rsid w:val="00C32E98"/>
    <w:rsid w:val="00C331B3"/>
    <w:rsid w:val="00C332BA"/>
    <w:rsid w:val="00C33C06"/>
    <w:rsid w:val="00C345F9"/>
    <w:rsid w:val="00C34AC3"/>
    <w:rsid w:val="00C34F53"/>
    <w:rsid w:val="00C35C0B"/>
    <w:rsid w:val="00C35F61"/>
    <w:rsid w:val="00C36186"/>
    <w:rsid w:val="00C361AE"/>
    <w:rsid w:val="00C361C8"/>
    <w:rsid w:val="00C363F8"/>
    <w:rsid w:val="00C364B1"/>
    <w:rsid w:val="00C36531"/>
    <w:rsid w:val="00C3676F"/>
    <w:rsid w:val="00C368A9"/>
    <w:rsid w:val="00C368F7"/>
    <w:rsid w:val="00C36986"/>
    <w:rsid w:val="00C37001"/>
    <w:rsid w:val="00C37E3C"/>
    <w:rsid w:val="00C4056E"/>
    <w:rsid w:val="00C40849"/>
    <w:rsid w:val="00C4100B"/>
    <w:rsid w:val="00C41442"/>
    <w:rsid w:val="00C414E6"/>
    <w:rsid w:val="00C418E6"/>
    <w:rsid w:val="00C41A9D"/>
    <w:rsid w:val="00C4284B"/>
    <w:rsid w:val="00C42DF3"/>
    <w:rsid w:val="00C4306B"/>
    <w:rsid w:val="00C433BD"/>
    <w:rsid w:val="00C43644"/>
    <w:rsid w:val="00C43EDC"/>
    <w:rsid w:val="00C44265"/>
    <w:rsid w:val="00C44DED"/>
    <w:rsid w:val="00C45018"/>
    <w:rsid w:val="00C45EB6"/>
    <w:rsid w:val="00C465C6"/>
    <w:rsid w:val="00C4675B"/>
    <w:rsid w:val="00C467CC"/>
    <w:rsid w:val="00C46BC5"/>
    <w:rsid w:val="00C46E0D"/>
    <w:rsid w:val="00C46E78"/>
    <w:rsid w:val="00C46F8C"/>
    <w:rsid w:val="00C50314"/>
    <w:rsid w:val="00C50BD0"/>
    <w:rsid w:val="00C51F3D"/>
    <w:rsid w:val="00C5246D"/>
    <w:rsid w:val="00C52D73"/>
    <w:rsid w:val="00C52E43"/>
    <w:rsid w:val="00C552F3"/>
    <w:rsid w:val="00C55399"/>
    <w:rsid w:val="00C5574A"/>
    <w:rsid w:val="00C55B89"/>
    <w:rsid w:val="00C55CCB"/>
    <w:rsid w:val="00C55CEA"/>
    <w:rsid w:val="00C560A2"/>
    <w:rsid w:val="00C56846"/>
    <w:rsid w:val="00C56906"/>
    <w:rsid w:val="00C571FE"/>
    <w:rsid w:val="00C57E51"/>
    <w:rsid w:val="00C6024A"/>
    <w:rsid w:val="00C60A0C"/>
    <w:rsid w:val="00C61836"/>
    <w:rsid w:val="00C61C65"/>
    <w:rsid w:val="00C62F8F"/>
    <w:rsid w:val="00C63DF3"/>
    <w:rsid w:val="00C63F60"/>
    <w:rsid w:val="00C640D6"/>
    <w:rsid w:val="00C64620"/>
    <w:rsid w:val="00C64919"/>
    <w:rsid w:val="00C64B2B"/>
    <w:rsid w:val="00C64ED1"/>
    <w:rsid w:val="00C653C9"/>
    <w:rsid w:val="00C65AB2"/>
    <w:rsid w:val="00C65FF2"/>
    <w:rsid w:val="00C66177"/>
    <w:rsid w:val="00C66212"/>
    <w:rsid w:val="00C66924"/>
    <w:rsid w:val="00C66A5B"/>
    <w:rsid w:val="00C66C61"/>
    <w:rsid w:val="00C66D75"/>
    <w:rsid w:val="00C67492"/>
    <w:rsid w:val="00C67A34"/>
    <w:rsid w:val="00C70A6D"/>
    <w:rsid w:val="00C718E6"/>
    <w:rsid w:val="00C71910"/>
    <w:rsid w:val="00C7222A"/>
    <w:rsid w:val="00C7492A"/>
    <w:rsid w:val="00C74AD8"/>
    <w:rsid w:val="00C75177"/>
    <w:rsid w:val="00C75184"/>
    <w:rsid w:val="00C756FB"/>
    <w:rsid w:val="00C75D56"/>
    <w:rsid w:val="00C768ED"/>
    <w:rsid w:val="00C77AA3"/>
    <w:rsid w:val="00C80330"/>
    <w:rsid w:val="00C8085E"/>
    <w:rsid w:val="00C80CE0"/>
    <w:rsid w:val="00C80D03"/>
    <w:rsid w:val="00C80D3E"/>
    <w:rsid w:val="00C80DFF"/>
    <w:rsid w:val="00C81313"/>
    <w:rsid w:val="00C8180B"/>
    <w:rsid w:val="00C82251"/>
    <w:rsid w:val="00C822D2"/>
    <w:rsid w:val="00C824A0"/>
    <w:rsid w:val="00C82B97"/>
    <w:rsid w:val="00C83058"/>
    <w:rsid w:val="00C83B04"/>
    <w:rsid w:val="00C84184"/>
    <w:rsid w:val="00C8476B"/>
    <w:rsid w:val="00C84F3D"/>
    <w:rsid w:val="00C851F7"/>
    <w:rsid w:val="00C859D0"/>
    <w:rsid w:val="00C85FBE"/>
    <w:rsid w:val="00C860C1"/>
    <w:rsid w:val="00C86667"/>
    <w:rsid w:val="00C86E2F"/>
    <w:rsid w:val="00C87203"/>
    <w:rsid w:val="00C873F6"/>
    <w:rsid w:val="00C87412"/>
    <w:rsid w:val="00C8785D"/>
    <w:rsid w:val="00C87C12"/>
    <w:rsid w:val="00C90151"/>
    <w:rsid w:val="00C9068C"/>
    <w:rsid w:val="00C91513"/>
    <w:rsid w:val="00C91CF9"/>
    <w:rsid w:val="00C92C29"/>
    <w:rsid w:val="00C930D2"/>
    <w:rsid w:val="00C934AF"/>
    <w:rsid w:val="00C94B65"/>
    <w:rsid w:val="00C951FE"/>
    <w:rsid w:val="00C95917"/>
    <w:rsid w:val="00C95A3E"/>
    <w:rsid w:val="00C960C3"/>
    <w:rsid w:val="00C965C3"/>
    <w:rsid w:val="00C96B16"/>
    <w:rsid w:val="00C96CA6"/>
    <w:rsid w:val="00C96E29"/>
    <w:rsid w:val="00C976A4"/>
    <w:rsid w:val="00C9788D"/>
    <w:rsid w:val="00C97BA5"/>
    <w:rsid w:val="00C97EF9"/>
    <w:rsid w:val="00CA009B"/>
    <w:rsid w:val="00CA030B"/>
    <w:rsid w:val="00CA0476"/>
    <w:rsid w:val="00CA0537"/>
    <w:rsid w:val="00CA1283"/>
    <w:rsid w:val="00CA138B"/>
    <w:rsid w:val="00CA2067"/>
    <w:rsid w:val="00CA2481"/>
    <w:rsid w:val="00CA33A7"/>
    <w:rsid w:val="00CA357D"/>
    <w:rsid w:val="00CA3760"/>
    <w:rsid w:val="00CA39B8"/>
    <w:rsid w:val="00CA3EAF"/>
    <w:rsid w:val="00CA44FD"/>
    <w:rsid w:val="00CA480C"/>
    <w:rsid w:val="00CA522E"/>
    <w:rsid w:val="00CA5992"/>
    <w:rsid w:val="00CA5D22"/>
    <w:rsid w:val="00CA610F"/>
    <w:rsid w:val="00CA6784"/>
    <w:rsid w:val="00CA6830"/>
    <w:rsid w:val="00CA6937"/>
    <w:rsid w:val="00CA698F"/>
    <w:rsid w:val="00CA6B6A"/>
    <w:rsid w:val="00CA7489"/>
    <w:rsid w:val="00CA7993"/>
    <w:rsid w:val="00CA7E1D"/>
    <w:rsid w:val="00CB01E9"/>
    <w:rsid w:val="00CB04D3"/>
    <w:rsid w:val="00CB05D6"/>
    <w:rsid w:val="00CB1511"/>
    <w:rsid w:val="00CB1855"/>
    <w:rsid w:val="00CB1949"/>
    <w:rsid w:val="00CB1CEB"/>
    <w:rsid w:val="00CB2218"/>
    <w:rsid w:val="00CB231E"/>
    <w:rsid w:val="00CB244E"/>
    <w:rsid w:val="00CB24B9"/>
    <w:rsid w:val="00CB38C6"/>
    <w:rsid w:val="00CB5102"/>
    <w:rsid w:val="00CB512A"/>
    <w:rsid w:val="00CB526F"/>
    <w:rsid w:val="00CB5570"/>
    <w:rsid w:val="00CB5925"/>
    <w:rsid w:val="00CB5B83"/>
    <w:rsid w:val="00CB670D"/>
    <w:rsid w:val="00CB68F2"/>
    <w:rsid w:val="00CB6969"/>
    <w:rsid w:val="00CB7484"/>
    <w:rsid w:val="00CB7DFB"/>
    <w:rsid w:val="00CC0C5C"/>
    <w:rsid w:val="00CC0D8D"/>
    <w:rsid w:val="00CC0E1C"/>
    <w:rsid w:val="00CC1091"/>
    <w:rsid w:val="00CC1705"/>
    <w:rsid w:val="00CC40DC"/>
    <w:rsid w:val="00CC49CF"/>
    <w:rsid w:val="00CC51FD"/>
    <w:rsid w:val="00CC6661"/>
    <w:rsid w:val="00CC6697"/>
    <w:rsid w:val="00CC7856"/>
    <w:rsid w:val="00CD05A4"/>
    <w:rsid w:val="00CD1897"/>
    <w:rsid w:val="00CD20C3"/>
    <w:rsid w:val="00CD28D4"/>
    <w:rsid w:val="00CD2CA3"/>
    <w:rsid w:val="00CD2EDF"/>
    <w:rsid w:val="00CD2F72"/>
    <w:rsid w:val="00CD3070"/>
    <w:rsid w:val="00CD36CF"/>
    <w:rsid w:val="00CD3E3C"/>
    <w:rsid w:val="00CD41B9"/>
    <w:rsid w:val="00CD433B"/>
    <w:rsid w:val="00CD4EA5"/>
    <w:rsid w:val="00CD5388"/>
    <w:rsid w:val="00CD5706"/>
    <w:rsid w:val="00CD5EBF"/>
    <w:rsid w:val="00CD677D"/>
    <w:rsid w:val="00CD690F"/>
    <w:rsid w:val="00CD6BAF"/>
    <w:rsid w:val="00CD6DD1"/>
    <w:rsid w:val="00CD70BA"/>
    <w:rsid w:val="00CD7277"/>
    <w:rsid w:val="00CD7DAA"/>
    <w:rsid w:val="00CE0060"/>
    <w:rsid w:val="00CE12E7"/>
    <w:rsid w:val="00CE13D0"/>
    <w:rsid w:val="00CE14E9"/>
    <w:rsid w:val="00CE1532"/>
    <w:rsid w:val="00CE1778"/>
    <w:rsid w:val="00CE20F4"/>
    <w:rsid w:val="00CE24DF"/>
    <w:rsid w:val="00CE2603"/>
    <w:rsid w:val="00CE2BF1"/>
    <w:rsid w:val="00CE2E4B"/>
    <w:rsid w:val="00CE3C88"/>
    <w:rsid w:val="00CE3D69"/>
    <w:rsid w:val="00CE3F8A"/>
    <w:rsid w:val="00CE4578"/>
    <w:rsid w:val="00CE49DC"/>
    <w:rsid w:val="00CE49FA"/>
    <w:rsid w:val="00CE616C"/>
    <w:rsid w:val="00CE635E"/>
    <w:rsid w:val="00CE63F7"/>
    <w:rsid w:val="00CE65DC"/>
    <w:rsid w:val="00CE6FD6"/>
    <w:rsid w:val="00CE758F"/>
    <w:rsid w:val="00CE7E53"/>
    <w:rsid w:val="00CF032D"/>
    <w:rsid w:val="00CF07C1"/>
    <w:rsid w:val="00CF1802"/>
    <w:rsid w:val="00CF19D1"/>
    <w:rsid w:val="00CF25B2"/>
    <w:rsid w:val="00CF26D3"/>
    <w:rsid w:val="00CF2765"/>
    <w:rsid w:val="00CF2B96"/>
    <w:rsid w:val="00CF3937"/>
    <w:rsid w:val="00CF3A8C"/>
    <w:rsid w:val="00CF3B52"/>
    <w:rsid w:val="00CF4447"/>
    <w:rsid w:val="00CF4486"/>
    <w:rsid w:val="00CF4AA4"/>
    <w:rsid w:val="00CF4B56"/>
    <w:rsid w:val="00CF4D2D"/>
    <w:rsid w:val="00CF4D7F"/>
    <w:rsid w:val="00CF521F"/>
    <w:rsid w:val="00CF5335"/>
    <w:rsid w:val="00CF629D"/>
    <w:rsid w:val="00CF62D0"/>
    <w:rsid w:val="00CF6331"/>
    <w:rsid w:val="00CF6611"/>
    <w:rsid w:val="00CF661A"/>
    <w:rsid w:val="00CF6D40"/>
    <w:rsid w:val="00CF6DD3"/>
    <w:rsid w:val="00CF6E47"/>
    <w:rsid w:val="00CF7C40"/>
    <w:rsid w:val="00D00020"/>
    <w:rsid w:val="00D002B7"/>
    <w:rsid w:val="00D00636"/>
    <w:rsid w:val="00D00656"/>
    <w:rsid w:val="00D006C6"/>
    <w:rsid w:val="00D009A1"/>
    <w:rsid w:val="00D00A39"/>
    <w:rsid w:val="00D01276"/>
    <w:rsid w:val="00D0187E"/>
    <w:rsid w:val="00D01B0D"/>
    <w:rsid w:val="00D02909"/>
    <w:rsid w:val="00D02BF7"/>
    <w:rsid w:val="00D02C7A"/>
    <w:rsid w:val="00D03191"/>
    <w:rsid w:val="00D038EF"/>
    <w:rsid w:val="00D03C74"/>
    <w:rsid w:val="00D04E87"/>
    <w:rsid w:val="00D05406"/>
    <w:rsid w:val="00D0540F"/>
    <w:rsid w:val="00D05915"/>
    <w:rsid w:val="00D061A7"/>
    <w:rsid w:val="00D06257"/>
    <w:rsid w:val="00D075AE"/>
    <w:rsid w:val="00D07DE9"/>
    <w:rsid w:val="00D105BF"/>
    <w:rsid w:val="00D1077C"/>
    <w:rsid w:val="00D11661"/>
    <w:rsid w:val="00D116C0"/>
    <w:rsid w:val="00D118F4"/>
    <w:rsid w:val="00D12383"/>
    <w:rsid w:val="00D12F62"/>
    <w:rsid w:val="00D131CE"/>
    <w:rsid w:val="00D1378F"/>
    <w:rsid w:val="00D13E5B"/>
    <w:rsid w:val="00D14309"/>
    <w:rsid w:val="00D144C4"/>
    <w:rsid w:val="00D14CB8"/>
    <w:rsid w:val="00D1544C"/>
    <w:rsid w:val="00D15692"/>
    <w:rsid w:val="00D158FC"/>
    <w:rsid w:val="00D15C9E"/>
    <w:rsid w:val="00D16083"/>
    <w:rsid w:val="00D16379"/>
    <w:rsid w:val="00D16389"/>
    <w:rsid w:val="00D16618"/>
    <w:rsid w:val="00D173CC"/>
    <w:rsid w:val="00D175BE"/>
    <w:rsid w:val="00D17BB5"/>
    <w:rsid w:val="00D17BB7"/>
    <w:rsid w:val="00D17DF5"/>
    <w:rsid w:val="00D2001F"/>
    <w:rsid w:val="00D2005C"/>
    <w:rsid w:val="00D2046F"/>
    <w:rsid w:val="00D205A0"/>
    <w:rsid w:val="00D209D3"/>
    <w:rsid w:val="00D20A32"/>
    <w:rsid w:val="00D20C59"/>
    <w:rsid w:val="00D20DCA"/>
    <w:rsid w:val="00D21B58"/>
    <w:rsid w:val="00D22036"/>
    <w:rsid w:val="00D221DD"/>
    <w:rsid w:val="00D22373"/>
    <w:rsid w:val="00D22513"/>
    <w:rsid w:val="00D2320C"/>
    <w:rsid w:val="00D236B5"/>
    <w:rsid w:val="00D24024"/>
    <w:rsid w:val="00D24122"/>
    <w:rsid w:val="00D2461E"/>
    <w:rsid w:val="00D24934"/>
    <w:rsid w:val="00D24CAE"/>
    <w:rsid w:val="00D24CBB"/>
    <w:rsid w:val="00D2522C"/>
    <w:rsid w:val="00D25249"/>
    <w:rsid w:val="00D2579B"/>
    <w:rsid w:val="00D26211"/>
    <w:rsid w:val="00D262C3"/>
    <w:rsid w:val="00D265E1"/>
    <w:rsid w:val="00D268A8"/>
    <w:rsid w:val="00D27554"/>
    <w:rsid w:val="00D27656"/>
    <w:rsid w:val="00D27B3D"/>
    <w:rsid w:val="00D301A8"/>
    <w:rsid w:val="00D3068E"/>
    <w:rsid w:val="00D3093D"/>
    <w:rsid w:val="00D30E1B"/>
    <w:rsid w:val="00D311D9"/>
    <w:rsid w:val="00D31ABD"/>
    <w:rsid w:val="00D31B25"/>
    <w:rsid w:val="00D32062"/>
    <w:rsid w:val="00D32A48"/>
    <w:rsid w:val="00D33120"/>
    <w:rsid w:val="00D3366E"/>
    <w:rsid w:val="00D33735"/>
    <w:rsid w:val="00D33765"/>
    <w:rsid w:val="00D33AB2"/>
    <w:rsid w:val="00D3414A"/>
    <w:rsid w:val="00D34DA5"/>
    <w:rsid w:val="00D352CF"/>
    <w:rsid w:val="00D354E0"/>
    <w:rsid w:val="00D35836"/>
    <w:rsid w:val="00D3719F"/>
    <w:rsid w:val="00D40DCC"/>
    <w:rsid w:val="00D40EE4"/>
    <w:rsid w:val="00D41826"/>
    <w:rsid w:val="00D418DE"/>
    <w:rsid w:val="00D4209A"/>
    <w:rsid w:val="00D42E95"/>
    <w:rsid w:val="00D43717"/>
    <w:rsid w:val="00D43776"/>
    <w:rsid w:val="00D43BB1"/>
    <w:rsid w:val="00D43D0E"/>
    <w:rsid w:val="00D44447"/>
    <w:rsid w:val="00D449F9"/>
    <w:rsid w:val="00D45281"/>
    <w:rsid w:val="00D45607"/>
    <w:rsid w:val="00D457A3"/>
    <w:rsid w:val="00D45C2F"/>
    <w:rsid w:val="00D45D39"/>
    <w:rsid w:val="00D45F97"/>
    <w:rsid w:val="00D46754"/>
    <w:rsid w:val="00D467B2"/>
    <w:rsid w:val="00D46ADE"/>
    <w:rsid w:val="00D46E59"/>
    <w:rsid w:val="00D47109"/>
    <w:rsid w:val="00D4730A"/>
    <w:rsid w:val="00D47B07"/>
    <w:rsid w:val="00D47BEF"/>
    <w:rsid w:val="00D47C1F"/>
    <w:rsid w:val="00D50892"/>
    <w:rsid w:val="00D50CE6"/>
    <w:rsid w:val="00D50CE7"/>
    <w:rsid w:val="00D51380"/>
    <w:rsid w:val="00D51C9E"/>
    <w:rsid w:val="00D51F9E"/>
    <w:rsid w:val="00D5216B"/>
    <w:rsid w:val="00D52535"/>
    <w:rsid w:val="00D525CD"/>
    <w:rsid w:val="00D52B26"/>
    <w:rsid w:val="00D52D31"/>
    <w:rsid w:val="00D52DD8"/>
    <w:rsid w:val="00D52E98"/>
    <w:rsid w:val="00D53478"/>
    <w:rsid w:val="00D53D18"/>
    <w:rsid w:val="00D53F74"/>
    <w:rsid w:val="00D540C4"/>
    <w:rsid w:val="00D54232"/>
    <w:rsid w:val="00D54699"/>
    <w:rsid w:val="00D54E20"/>
    <w:rsid w:val="00D5547A"/>
    <w:rsid w:val="00D55AF1"/>
    <w:rsid w:val="00D564D1"/>
    <w:rsid w:val="00D5673F"/>
    <w:rsid w:val="00D56938"/>
    <w:rsid w:val="00D56A11"/>
    <w:rsid w:val="00D56AEE"/>
    <w:rsid w:val="00D56B31"/>
    <w:rsid w:val="00D56C59"/>
    <w:rsid w:val="00D57090"/>
    <w:rsid w:val="00D57430"/>
    <w:rsid w:val="00D57637"/>
    <w:rsid w:val="00D6019B"/>
    <w:rsid w:val="00D6020C"/>
    <w:rsid w:val="00D607CE"/>
    <w:rsid w:val="00D6092C"/>
    <w:rsid w:val="00D60C1D"/>
    <w:rsid w:val="00D60FB3"/>
    <w:rsid w:val="00D61F82"/>
    <w:rsid w:val="00D6230B"/>
    <w:rsid w:val="00D62849"/>
    <w:rsid w:val="00D6286F"/>
    <w:rsid w:val="00D62B14"/>
    <w:rsid w:val="00D62E63"/>
    <w:rsid w:val="00D63D03"/>
    <w:rsid w:val="00D63EC1"/>
    <w:rsid w:val="00D64008"/>
    <w:rsid w:val="00D644FD"/>
    <w:rsid w:val="00D65463"/>
    <w:rsid w:val="00D66320"/>
    <w:rsid w:val="00D6676E"/>
    <w:rsid w:val="00D66B28"/>
    <w:rsid w:val="00D670B7"/>
    <w:rsid w:val="00D673A7"/>
    <w:rsid w:val="00D675C5"/>
    <w:rsid w:val="00D67B2E"/>
    <w:rsid w:val="00D67E24"/>
    <w:rsid w:val="00D70357"/>
    <w:rsid w:val="00D70430"/>
    <w:rsid w:val="00D717CF"/>
    <w:rsid w:val="00D71A75"/>
    <w:rsid w:val="00D7352C"/>
    <w:rsid w:val="00D73AC9"/>
    <w:rsid w:val="00D73CD9"/>
    <w:rsid w:val="00D740A1"/>
    <w:rsid w:val="00D74340"/>
    <w:rsid w:val="00D74B47"/>
    <w:rsid w:val="00D7514B"/>
    <w:rsid w:val="00D755B4"/>
    <w:rsid w:val="00D755BF"/>
    <w:rsid w:val="00D75D54"/>
    <w:rsid w:val="00D75EA9"/>
    <w:rsid w:val="00D75F7C"/>
    <w:rsid w:val="00D76082"/>
    <w:rsid w:val="00D76A6F"/>
    <w:rsid w:val="00D76F0A"/>
    <w:rsid w:val="00D77CC3"/>
    <w:rsid w:val="00D77CF0"/>
    <w:rsid w:val="00D77DA6"/>
    <w:rsid w:val="00D77F0B"/>
    <w:rsid w:val="00D80148"/>
    <w:rsid w:val="00D80257"/>
    <w:rsid w:val="00D805D9"/>
    <w:rsid w:val="00D8104B"/>
    <w:rsid w:val="00D81311"/>
    <w:rsid w:val="00D8131E"/>
    <w:rsid w:val="00D8175A"/>
    <w:rsid w:val="00D81D9B"/>
    <w:rsid w:val="00D82411"/>
    <w:rsid w:val="00D8276D"/>
    <w:rsid w:val="00D827D3"/>
    <w:rsid w:val="00D832D7"/>
    <w:rsid w:val="00D834A4"/>
    <w:rsid w:val="00D83642"/>
    <w:rsid w:val="00D836FF"/>
    <w:rsid w:val="00D852E6"/>
    <w:rsid w:val="00D85987"/>
    <w:rsid w:val="00D86525"/>
    <w:rsid w:val="00D865FE"/>
    <w:rsid w:val="00D871E9"/>
    <w:rsid w:val="00D879C6"/>
    <w:rsid w:val="00D87A2E"/>
    <w:rsid w:val="00D87AF7"/>
    <w:rsid w:val="00D908E8"/>
    <w:rsid w:val="00D910B4"/>
    <w:rsid w:val="00D918F6"/>
    <w:rsid w:val="00D91C2E"/>
    <w:rsid w:val="00D920C1"/>
    <w:rsid w:val="00D929D6"/>
    <w:rsid w:val="00D92AAC"/>
    <w:rsid w:val="00D92B1E"/>
    <w:rsid w:val="00D92BB7"/>
    <w:rsid w:val="00D933C9"/>
    <w:rsid w:val="00D93729"/>
    <w:rsid w:val="00D9372B"/>
    <w:rsid w:val="00D93B17"/>
    <w:rsid w:val="00D94278"/>
    <w:rsid w:val="00D946D2"/>
    <w:rsid w:val="00D94D63"/>
    <w:rsid w:val="00D95208"/>
    <w:rsid w:val="00D953A6"/>
    <w:rsid w:val="00D95469"/>
    <w:rsid w:val="00D957B7"/>
    <w:rsid w:val="00D95E08"/>
    <w:rsid w:val="00D960C0"/>
    <w:rsid w:val="00D96979"/>
    <w:rsid w:val="00D9799A"/>
    <w:rsid w:val="00D97F87"/>
    <w:rsid w:val="00DA0557"/>
    <w:rsid w:val="00DA0600"/>
    <w:rsid w:val="00DA084A"/>
    <w:rsid w:val="00DA0E35"/>
    <w:rsid w:val="00DA103F"/>
    <w:rsid w:val="00DA178D"/>
    <w:rsid w:val="00DA19C1"/>
    <w:rsid w:val="00DA1D19"/>
    <w:rsid w:val="00DA1FA7"/>
    <w:rsid w:val="00DA204E"/>
    <w:rsid w:val="00DA2387"/>
    <w:rsid w:val="00DA2D2F"/>
    <w:rsid w:val="00DA2FC1"/>
    <w:rsid w:val="00DA3195"/>
    <w:rsid w:val="00DA31A7"/>
    <w:rsid w:val="00DA3907"/>
    <w:rsid w:val="00DA3940"/>
    <w:rsid w:val="00DA4D71"/>
    <w:rsid w:val="00DA4E58"/>
    <w:rsid w:val="00DA680D"/>
    <w:rsid w:val="00DA7880"/>
    <w:rsid w:val="00DA7C45"/>
    <w:rsid w:val="00DB06A1"/>
    <w:rsid w:val="00DB0A1D"/>
    <w:rsid w:val="00DB0C41"/>
    <w:rsid w:val="00DB1370"/>
    <w:rsid w:val="00DB1634"/>
    <w:rsid w:val="00DB17F5"/>
    <w:rsid w:val="00DB3191"/>
    <w:rsid w:val="00DB326C"/>
    <w:rsid w:val="00DB35E1"/>
    <w:rsid w:val="00DB378D"/>
    <w:rsid w:val="00DB402C"/>
    <w:rsid w:val="00DB432B"/>
    <w:rsid w:val="00DB4338"/>
    <w:rsid w:val="00DB44E1"/>
    <w:rsid w:val="00DB48F0"/>
    <w:rsid w:val="00DB4C46"/>
    <w:rsid w:val="00DB517E"/>
    <w:rsid w:val="00DB58D3"/>
    <w:rsid w:val="00DB5DC2"/>
    <w:rsid w:val="00DB611F"/>
    <w:rsid w:val="00DB752F"/>
    <w:rsid w:val="00DB7580"/>
    <w:rsid w:val="00DB7927"/>
    <w:rsid w:val="00DC0971"/>
    <w:rsid w:val="00DC1EEE"/>
    <w:rsid w:val="00DC26B8"/>
    <w:rsid w:val="00DC2731"/>
    <w:rsid w:val="00DC2EBF"/>
    <w:rsid w:val="00DC2F40"/>
    <w:rsid w:val="00DC31D6"/>
    <w:rsid w:val="00DC3273"/>
    <w:rsid w:val="00DC3B65"/>
    <w:rsid w:val="00DC4A01"/>
    <w:rsid w:val="00DC4C7C"/>
    <w:rsid w:val="00DC4DBB"/>
    <w:rsid w:val="00DC59E1"/>
    <w:rsid w:val="00DC5E73"/>
    <w:rsid w:val="00DC6735"/>
    <w:rsid w:val="00DC6C5A"/>
    <w:rsid w:val="00DC6F24"/>
    <w:rsid w:val="00DC7C95"/>
    <w:rsid w:val="00DC7E59"/>
    <w:rsid w:val="00DD0273"/>
    <w:rsid w:val="00DD05EA"/>
    <w:rsid w:val="00DD1EA9"/>
    <w:rsid w:val="00DD2151"/>
    <w:rsid w:val="00DD3940"/>
    <w:rsid w:val="00DD3CF3"/>
    <w:rsid w:val="00DD3EDF"/>
    <w:rsid w:val="00DD46E8"/>
    <w:rsid w:val="00DD499F"/>
    <w:rsid w:val="00DD4C27"/>
    <w:rsid w:val="00DD4C31"/>
    <w:rsid w:val="00DD53D6"/>
    <w:rsid w:val="00DD54AF"/>
    <w:rsid w:val="00DD6372"/>
    <w:rsid w:val="00DD6A36"/>
    <w:rsid w:val="00DD73C2"/>
    <w:rsid w:val="00DD7531"/>
    <w:rsid w:val="00DE002C"/>
    <w:rsid w:val="00DE01A4"/>
    <w:rsid w:val="00DE0712"/>
    <w:rsid w:val="00DE0E6F"/>
    <w:rsid w:val="00DE0F65"/>
    <w:rsid w:val="00DE193C"/>
    <w:rsid w:val="00DE1B37"/>
    <w:rsid w:val="00DE247B"/>
    <w:rsid w:val="00DE2504"/>
    <w:rsid w:val="00DE2642"/>
    <w:rsid w:val="00DE28EC"/>
    <w:rsid w:val="00DE2E3B"/>
    <w:rsid w:val="00DE30B9"/>
    <w:rsid w:val="00DE319B"/>
    <w:rsid w:val="00DE31BD"/>
    <w:rsid w:val="00DE3668"/>
    <w:rsid w:val="00DE3F30"/>
    <w:rsid w:val="00DE46AD"/>
    <w:rsid w:val="00DE5E97"/>
    <w:rsid w:val="00DE6EA1"/>
    <w:rsid w:val="00DE71D9"/>
    <w:rsid w:val="00DE7C65"/>
    <w:rsid w:val="00DF15D5"/>
    <w:rsid w:val="00DF1687"/>
    <w:rsid w:val="00DF1820"/>
    <w:rsid w:val="00DF2208"/>
    <w:rsid w:val="00DF25E9"/>
    <w:rsid w:val="00DF323D"/>
    <w:rsid w:val="00DF328F"/>
    <w:rsid w:val="00DF33A9"/>
    <w:rsid w:val="00DF36A6"/>
    <w:rsid w:val="00DF426D"/>
    <w:rsid w:val="00DF4A37"/>
    <w:rsid w:val="00DF4DAC"/>
    <w:rsid w:val="00DF5E55"/>
    <w:rsid w:val="00DF61D3"/>
    <w:rsid w:val="00DF637C"/>
    <w:rsid w:val="00DF6D63"/>
    <w:rsid w:val="00DF754E"/>
    <w:rsid w:val="00DF7640"/>
    <w:rsid w:val="00E00134"/>
    <w:rsid w:val="00E00250"/>
    <w:rsid w:val="00E00702"/>
    <w:rsid w:val="00E01327"/>
    <w:rsid w:val="00E01819"/>
    <w:rsid w:val="00E01A1E"/>
    <w:rsid w:val="00E01C5E"/>
    <w:rsid w:val="00E020F9"/>
    <w:rsid w:val="00E0210D"/>
    <w:rsid w:val="00E0247F"/>
    <w:rsid w:val="00E027CC"/>
    <w:rsid w:val="00E02BCE"/>
    <w:rsid w:val="00E031B7"/>
    <w:rsid w:val="00E03BC8"/>
    <w:rsid w:val="00E04EFF"/>
    <w:rsid w:val="00E06985"/>
    <w:rsid w:val="00E07071"/>
    <w:rsid w:val="00E073CA"/>
    <w:rsid w:val="00E075B8"/>
    <w:rsid w:val="00E07CC9"/>
    <w:rsid w:val="00E07EC5"/>
    <w:rsid w:val="00E104A8"/>
    <w:rsid w:val="00E1101C"/>
    <w:rsid w:val="00E11EEC"/>
    <w:rsid w:val="00E125B1"/>
    <w:rsid w:val="00E125F7"/>
    <w:rsid w:val="00E12ABF"/>
    <w:rsid w:val="00E13048"/>
    <w:rsid w:val="00E13176"/>
    <w:rsid w:val="00E1330C"/>
    <w:rsid w:val="00E137D1"/>
    <w:rsid w:val="00E14725"/>
    <w:rsid w:val="00E14BFC"/>
    <w:rsid w:val="00E14EF6"/>
    <w:rsid w:val="00E1507F"/>
    <w:rsid w:val="00E150AE"/>
    <w:rsid w:val="00E15198"/>
    <w:rsid w:val="00E154AE"/>
    <w:rsid w:val="00E159E6"/>
    <w:rsid w:val="00E16056"/>
    <w:rsid w:val="00E16537"/>
    <w:rsid w:val="00E16953"/>
    <w:rsid w:val="00E169B8"/>
    <w:rsid w:val="00E16D22"/>
    <w:rsid w:val="00E20118"/>
    <w:rsid w:val="00E2062A"/>
    <w:rsid w:val="00E20719"/>
    <w:rsid w:val="00E20A81"/>
    <w:rsid w:val="00E20C05"/>
    <w:rsid w:val="00E20CD9"/>
    <w:rsid w:val="00E20CDE"/>
    <w:rsid w:val="00E21127"/>
    <w:rsid w:val="00E21419"/>
    <w:rsid w:val="00E21FBF"/>
    <w:rsid w:val="00E226CD"/>
    <w:rsid w:val="00E228ED"/>
    <w:rsid w:val="00E22FB6"/>
    <w:rsid w:val="00E235A1"/>
    <w:rsid w:val="00E2398D"/>
    <w:rsid w:val="00E244FE"/>
    <w:rsid w:val="00E2499B"/>
    <w:rsid w:val="00E24BBC"/>
    <w:rsid w:val="00E24E3C"/>
    <w:rsid w:val="00E25565"/>
    <w:rsid w:val="00E26054"/>
    <w:rsid w:val="00E26126"/>
    <w:rsid w:val="00E26376"/>
    <w:rsid w:val="00E264F6"/>
    <w:rsid w:val="00E27059"/>
    <w:rsid w:val="00E273DA"/>
    <w:rsid w:val="00E278B0"/>
    <w:rsid w:val="00E300CB"/>
    <w:rsid w:val="00E3059E"/>
    <w:rsid w:val="00E30AF8"/>
    <w:rsid w:val="00E30E53"/>
    <w:rsid w:val="00E3138E"/>
    <w:rsid w:val="00E325FC"/>
    <w:rsid w:val="00E329DB"/>
    <w:rsid w:val="00E33B22"/>
    <w:rsid w:val="00E33B71"/>
    <w:rsid w:val="00E34794"/>
    <w:rsid w:val="00E3578E"/>
    <w:rsid w:val="00E35829"/>
    <w:rsid w:val="00E35C79"/>
    <w:rsid w:val="00E35D9B"/>
    <w:rsid w:val="00E35E9B"/>
    <w:rsid w:val="00E3733C"/>
    <w:rsid w:val="00E37790"/>
    <w:rsid w:val="00E37835"/>
    <w:rsid w:val="00E37A8F"/>
    <w:rsid w:val="00E403F1"/>
    <w:rsid w:val="00E4065A"/>
    <w:rsid w:val="00E4070C"/>
    <w:rsid w:val="00E42757"/>
    <w:rsid w:val="00E437BC"/>
    <w:rsid w:val="00E44026"/>
    <w:rsid w:val="00E4436B"/>
    <w:rsid w:val="00E4489C"/>
    <w:rsid w:val="00E460D3"/>
    <w:rsid w:val="00E4632F"/>
    <w:rsid w:val="00E46ED5"/>
    <w:rsid w:val="00E473FE"/>
    <w:rsid w:val="00E4762E"/>
    <w:rsid w:val="00E47D1E"/>
    <w:rsid w:val="00E504B9"/>
    <w:rsid w:val="00E509FC"/>
    <w:rsid w:val="00E51707"/>
    <w:rsid w:val="00E5189E"/>
    <w:rsid w:val="00E520AF"/>
    <w:rsid w:val="00E522D8"/>
    <w:rsid w:val="00E52308"/>
    <w:rsid w:val="00E52A52"/>
    <w:rsid w:val="00E52D30"/>
    <w:rsid w:val="00E53399"/>
    <w:rsid w:val="00E535F6"/>
    <w:rsid w:val="00E53CCA"/>
    <w:rsid w:val="00E54225"/>
    <w:rsid w:val="00E54B5E"/>
    <w:rsid w:val="00E54E38"/>
    <w:rsid w:val="00E5508C"/>
    <w:rsid w:val="00E555A6"/>
    <w:rsid w:val="00E555E4"/>
    <w:rsid w:val="00E5610E"/>
    <w:rsid w:val="00E56669"/>
    <w:rsid w:val="00E56942"/>
    <w:rsid w:val="00E5694F"/>
    <w:rsid w:val="00E56C9E"/>
    <w:rsid w:val="00E56E01"/>
    <w:rsid w:val="00E5707F"/>
    <w:rsid w:val="00E57306"/>
    <w:rsid w:val="00E60038"/>
    <w:rsid w:val="00E60C31"/>
    <w:rsid w:val="00E60ECF"/>
    <w:rsid w:val="00E6127B"/>
    <w:rsid w:val="00E612E9"/>
    <w:rsid w:val="00E61793"/>
    <w:rsid w:val="00E61A15"/>
    <w:rsid w:val="00E62592"/>
    <w:rsid w:val="00E627FD"/>
    <w:rsid w:val="00E62925"/>
    <w:rsid w:val="00E63970"/>
    <w:rsid w:val="00E63C71"/>
    <w:rsid w:val="00E63D1B"/>
    <w:rsid w:val="00E63FD7"/>
    <w:rsid w:val="00E63FEF"/>
    <w:rsid w:val="00E648FD"/>
    <w:rsid w:val="00E64A32"/>
    <w:rsid w:val="00E651CC"/>
    <w:rsid w:val="00E654B7"/>
    <w:rsid w:val="00E65836"/>
    <w:rsid w:val="00E65BE5"/>
    <w:rsid w:val="00E65C64"/>
    <w:rsid w:val="00E65DA8"/>
    <w:rsid w:val="00E660D8"/>
    <w:rsid w:val="00E6695F"/>
    <w:rsid w:val="00E66ECD"/>
    <w:rsid w:val="00E67126"/>
    <w:rsid w:val="00E67391"/>
    <w:rsid w:val="00E674FF"/>
    <w:rsid w:val="00E6750C"/>
    <w:rsid w:val="00E67D1B"/>
    <w:rsid w:val="00E67F95"/>
    <w:rsid w:val="00E67FEB"/>
    <w:rsid w:val="00E70039"/>
    <w:rsid w:val="00E70CBC"/>
    <w:rsid w:val="00E710D5"/>
    <w:rsid w:val="00E7297A"/>
    <w:rsid w:val="00E72D32"/>
    <w:rsid w:val="00E72EC7"/>
    <w:rsid w:val="00E73093"/>
    <w:rsid w:val="00E73624"/>
    <w:rsid w:val="00E73678"/>
    <w:rsid w:val="00E7385E"/>
    <w:rsid w:val="00E73CDE"/>
    <w:rsid w:val="00E73FFE"/>
    <w:rsid w:val="00E75C08"/>
    <w:rsid w:val="00E76585"/>
    <w:rsid w:val="00E7679A"/>
    <w:rsid w:val="00E768AA"/>
    <w:rsid w:val="00E7693D"/>
    <w:rsid w:val="00E76948"/>
    <w:rsid w:val="00E76DDD"/>
    <w:rsid w:val="00E770E6"/>
    <w:rsid w:val="00E77211"/>
    <w:rsid w:val="00E774EF"/>
    <w:rsid w:val="00E77EB2"/>
    <w:rsid w:val="00E800F7"/>
    <w:rsid w:val="00E801E2"/>
    <w:rsid w:val="00E801EF"/>
    <w:rsid w:val="00E818B3"/>
    <w:rsid w:val="00E819BE"/>
    <w:rsid w:val="00E819FE"/>
    <w:rsid w:val="00E81FCC"/>
    <w:rsid w:val="00E8215F"/>
    <w:rsid w:val="00E82441"/>
    <w:rsid w:val="00E825EB"/>
    <w:rsid w:val="00E82842"/>
    <w:rsid w:val="00E82AAD"/>
    <w:rsid w:val="00E82C20"/>
    <w:rsid w:val="00E82EE7"/>
    <w:rsid w:val="00E833A3"/>
    <w:rsid w:val="00E83876"/>
    <w:rsid w:val="00E83C17"/>
    <w:rsid w:val="00E83D7A"/>
    <w:rsid w:val="00E83F26"/>
    <w:rsid w:val="00E84014"/>
    <w:rsid w:val="00E844E2"/>
    <w:rsid w:val="00E8462E"/>
    <w:rsid w:val="00E849A2"/>
    <w:rsid w:val="00E84EE5"/>
    <w:rsid w:val="00E856AC"/>
    <w:rsid w:val="00E85889"/>
    <w:rsid w:val="00E858DB"/>
    <w:rsid w:val="00E8591F"/>
    <w:rsid w:val="00E8619E"/>
    <w:rsid w:val="00E86720"/>
    <w:rsid w:val="00E86759"/>
    <w:rsid w:val="00E86847"/>
    <w:rsid w:val="00E86932"/>
    <w:rsid w:val="00E8721E"/>
    <w:rsid w:val="00E877CC"/>
    <w:rsid w:val="00E87822"/>
    <w:rsid w:val="00E879C2"/>
    <w:rsid w:val="00E90134"/>
    <w:rsid w:val="00E90EA3"/>
    <w:rsid w:val="00E912C8"/>
    <w:rsid w:val="00E91FAF"/>
    <w:rsid w:val="00E92122"/>
    <w:rsid w:val="00E92441"/>
    <w:rsid w:val="00E92447"/>
    <w:rsid w:val="00E936CC"/>
    <w:rsid w:val="00E9378D"/>
    <w:rsid w:val="00E93E7E"/>
    <w:rsid w:val="00E94DFE"/>
    <w:rsid w:val="00E9566B"/>
    <w:rsid w:val="00E96FA1"/>
    <w:rsid w:val="00E97000"/>
    <w:rsid w:val="00E971B3"/>
    <w:rsid w:val="00E97C8B"/>
    <w:rsid w:val="00E97E3B"/>
    <w:rsid w:val="00EA020B"/>
    <w:rsid w:val="00EA054B"/>
    <w:rsid w:val="00EA0A77"/>
    <w:rsid w:val="00EA0C1A"/>
    <w:rsid w:val="00EA0D33"/>
    <w:rsid w:val="00EA12DD"/>
    <w:rsid w:val="00EA182B"/>
    <w:rsid w:val="00EA1A8E"/>
    <w:rsid w:val="00EA1B02"/>
    <w:rsid w:val="00EA1DF9"/>
    <w:rsid w:val="00EA1F2E"/>
    <w:rsid w:val="00EA24AC"/>
    <w:rsid w:val="00EA25FB"/>
    <w:rsid w:val="00EA2ABD"/>
    <w:rsid w:val="00EA3115"/>
    <w:rsid w:val="00EA343B"/>
    <w:rsid w:val="00EA395F"/>
    <w:rsid w:val="00EA3A0E"/>
    <w:rsid w:val="00EA3C54"/>
    <w:rsid w:val="00EA4936"/>
    <w:rsid w:val="00EA4EFC"/>
    <w:rsid w:val="00EA5393"/>
    <w:rsid w:val="00EA5856"/>
    <w:rsid w:val="00EA6254"/>
    <w:rsid w:val="00EA67DA"/>
    <w:rsid w:val="00EA70D3"/>
    <w:rsid w:val="00EA7D4B"/>
    <w:rsid w:val="00EA7E4D"/>
    <w:rsid w:val="00EB010F"/>
    <w:rsid w:val="00EB0338"/>
    <w:rsid w:val="00EB045A"/>
    <w:rsid w:val="00EB09F1"/>
    <w:rsid w:val="00EB0DEF"/>
    <w:rsid w:val="00EB0F2C"/>
    <w:rsid w:val="00EB1256"/>
    <w:rsid w:val="00EB192C"/>
    <w:rsid w:val="00EB2589"/>
    <w:rsid w:val="00EB33E9"/>
    <w:rsid w:val="00EB3583"/>
    <w:rsid w:val="00EB3B49"/>
    <w:rsid w:val="00EB418F"/>
    <w:rsid w:val="00EB495B"/>
    <w:rsid w:val="00EB50FD"/>
    <w:rsid w:val="00EB5981"/>
    <w:rsid w:val="00EB6385"/>
    <w:rsid w:val="00EB7065"/>
    <w:rsid w:val="00EB7287"/>
    <w:rsid w:val="00EB75BA"/>
    <w:rsid w:val="00EB79F2"/>
    <w:rsid w:val="00EB7A0F"/>
    <w:rsid w:val="00EC0607"/>
    <w:rsid w:val="00EC071C"/>
    <w:rsid w:val="00EC1049"/>
    <w:rsid w:val="00EC1246"/>
    <w:rsid w:val="00EC1A7D"/>
    <w:rsid w:val="00EC297F"/>
    <w:rsid w:val="00EC3E35"/>
    <w:rsid w:val="00EC4249"/>
    <w:rsid w:val="00EC444D"/>
    <w:rsid w:val="00EC4AA7"/>
    <w:rsid w:val="00EC4B84"/>
    <w:rsid w:val="00EC596A"/>
    <w:rsid w:val="00EC5DE1"/>
    <w:rsid w:val="00EC63A4"/>
    <w:rsid w:val="00EC6418"/>
    <w:rsid w:val="00EC6A9B"/>
    <w:rsid w:val="00EC6E6C"/>
    <w:rsid w:val="00EC7D66"/>
    <w:rsid w:val="00ED0770"/>
    <w:rsid w:val="00ED0938"/>
    <w:rsid w:val="00ED0CE7"/>
    <w:rsid w:val="00ED0E15"/>
    <w:rsid w:val="00ED1574"/>
    <w:rsid w:val="00ED195D"/>
    <w:rsid w:val="00ED1DE3"/>
    <w:rsid w:val="00ED1EBC"/>
    <w:rsid w:val="00ED22DE"/>
    <w:rsid w:val="00ED2508"/>
    <w:rsid w:val="00ED2B42"/>
    <w:rsid w:val="00ED3122"/>
    <w:rsid w:val="00ED31B0"/>
    <w:rsid w:val="00ED41DF"/>
    <w:rsid w:val="00ED430D"/>
    <w:rsid w:val="00ED4602"/>
    <w:rsid w:val="00ED4887"/>
    <w:rsid w:val="00ED5094"/>
    <w:rsid w:val="00ED52F7"/>
    <w:rsid w:val="00ED582F"/>
    <w:rsid w:val="00ED5907"/>
    <w:rsid w:val="00ED5C7A"/>
    <w:rsid w:val="00ED62C5"/>
    <w:rsid w:val="00ED640B"/>
    <w:rsid w:val="00ED72A4"/>
    <w:rsid w:val="00ED7AD4"/>
    <w:rsid w:val="00ED7BE7"/>
    <w:rsid w:val="00EE0127"/>
    <w:rsid w:val="00EE049B"/>
    <w:rsid w:val="00EE0B11"/>
    <w:rsid w:val="00EE0D2E"/>
    <w:rsid w:val="00EE0E4B"/>
    <w:rsid w:val="00EE0FC2"/>
    <w:rsid w:val="00EE1183"/>
    <w:rsid w:val="00EE1576"/>
    <w:rsid w:val="00EE19B5"/>
    <w:rsid w:val="00EE1B2E"/>
    <w:rsid w:val="00EE24BF"/>
    <w:rsid w:val="00EE344D"/>
    <w:rsid w:val="00EE3C9E"/>
    <w:rsid w:val="00EE3ED3"/>
    <w:rsid w:val="00EE4471"/>
    <w:rsid w:val="00EE4524"/>
    <w:rsid w:val="00EE570A"/>
    <w:rsid w:val="00EE5928"/>
    <w:rsid w:val="00EE5C18"/>
    <w:rsid w:val="00EE5C69"/>
    <w:rsid w:val="00EE5CDE"/>
    <w:rsid w:val="00EE65EB"/>
    <w:rsid w:val="00EE7866"/>
    <w:rsid w:val="00EE7931"/>
    <w:rsid w:val="00EE7CA9"/>
    <w:rsid w:val="00EE7D76"/>
    <w:rsid w:val="00EF053A"/>
    <w:rsid w:val="00EF0B35"/>
    <w:rsid w:val="00EF0E5A"/>
    <w:rsid w:val="00EF0F53"/>
    <w:rsid w:val="00EF10CE"/>
    <w:rsid w:val="00EF137A"/>
    <w:rsid w:val="00EF1F3D"/>
    <w:rsid w:val="00EF237F"/>
    <w:rsid w:val="00EF2401"/>
    <w:rsid w:val="00EF2F3A"/>
    <w:rsid w:val="00EF34AE"/>
    <w:rsid w:val="00EF3735"/>
    <w:rsid w:val="00EF3B40"/>
    <w:rsid w:val="00EF3B45"/>
    <w:rsid w:val="00EF3FC4"/>
    <w:rsid w:val="00EF400A"/>
    <w:rsid w:val="00EF58E5"/>
    <w:rsid w:val="00EF64FE"/>
    <w:rsid w:val="00EF69C3"/>
    <w:rsid w:val="00EF6BF7"/>
    <w:rsid w:val="00EF6FE3"/>
    <w:rsid w:val="00EF74E1"/>
    <w:rsid w:val="00EF7938"/>
    <w:rsid w:val="00EF7FED"/>
    <w:rsid w:val="00F0076A"/>
    <w:rsid w:val="00F00CA4"/>
    <w:rsid w:val="00F01272"/>
    <w:rsid w:val="00F01499"/>
    <w:rsid w:val="00F017D1"/>
    <w:rsid w:val="00F01D73"/>
    <w:rsid w:val="00F01E72"/>
    <w:rsid w:val="00F01F87"/>
    <w:rsid w:val="00F02671"/>
    <w:rsid w:val="00F02853"/>
    <w:rsid w:val="00F02FD1"/>
    <w:rsid w:val="00F034C1"/>
    <w:rsid w:val="00F03818"/>
    <w:rsid w:val="00F038E7"/>
    <w:rsid w:val="00F03A83"/>
    <w:rsid w:val="00F03CF4"/>
    <w:rsid w:val="00F03DA3"/>
    <w:rsid w:val="00F03EBC"/>
    <w:rsid w:val="00F04953"/>
    <w:rsid w:val="00F04DBE"/>
    <w:rsid w:val="00F05D91"/>
    <w:rsid w:val="00F066D8"/>
    <w:rsid w:val="00F06E2E"/>
    <w:rsid w:val="00F07226"/>
    <w:rsid w:val="00F07AB9"/>
    <w:rsid w:val="00F07F06"/>
    <w:rsid w:val="00F1001A"/>
    <w:rsid w:val="00F10340"/>
    <w:rsid w:val="00F10867"/>
    <w:rsid w:val="00F10A30"/>
    <w:rsid w:val="00F11C51"/>
    <w:rsid w:val="00F133A4"/>
    <w:rsid w:val="00F134F1"/>
    <w:rsid w:val="00F141B2"/>
    <w:rsid w:val="00F14290"/>
    <w:rsid w:val="00F144B0"/>
    <w:rsid w:val="00F14512"/>
    <w:rsid w:val="00F14540"/>
    <w:rsid w:val="00F14623"/>
    <w:rsid w:val="00F147CE"/>
    <w:rsid w:val="00F148AA"/>
    <w:rsid w:val="00F15B32"/>
    <w:rsid w:val="00F16B96"/>
    <w:rsid w:val="00F16C38"/>
    <w:rsid w:val="00F16CFA"/>
    <w:rsid w:val="00F17064"/>
    <w:rsid w:val="00F171FF"/>
    <w:rsid w:val="00F17A58"/>
    <w:rsid w:val="00F17BEF"/>
    <w:rsid w:val="00F20F23"/>
    <w:rsid w:val="00F217A9"/>
    <w:rsid w:val="00F221F8"/>
    <w:rsid w:val="00F223D5"/>
    <w:rsid w:val="00F2241A"/>
    <w:rsid w:val="00F22537"/>
    <w:rsid w:val="00F225FA"/>
    <w:rsid w:val="00F22706"/>
    <w:rsid w:val="00F2272B"/>
    <w:rsid w:val="00F22F92"/>
    <w:rsid w:val="00F23AFF"/>
    <w:rsid w:val="00F24918"/>
    <w:rsid w:val="00F25B2B"/>
    <w:rsid w:val="00F25B60"/>
    <w:rsid w:val="00F265B5"/>
    <w:rsid w:val="00F26853"/>
    <w:rsid w:val="00F2706E"/>
    <w:rsid w:val="00F27E43"/>
    <w:rsid w:val="00F306D9"/>
    <w:rsid w:val="00F309E9"/>
    <w:rsid w:val="00F30F2E"/>
    <w:rsid w:val="00F312CA"/>
    <w:rsid w:val="00F31CD2"/>
    <w:rsid w:val="00F32112"/>
    <w:rsid w:val="00F32CC5"/>
    <w:rsid w:val="00F33AEF"/>
    <w:rsid w:val="00F33B36"/>
    <w:rsid w:val="00F33CF7"/>
    <w:rsid w:val="00F345CE"/>
    <w:rsid w:val="00F3465F"/>
    <w:rsid w:val="00F36F0F"/>
    <w:rsid w:val="00F37DAC"/>
    <w:rsid w:val="00F37DBA"/>
    <w:rsid w:val="00F40304"/>
    <w:rsid w:val="00F40B0A"/>
    <w:rsid w:val="00F40F5B"/>
    <w:rsid w:val="00F414F2"/>
    <w:rsid w:val="00F41A92"/>
    <w:rsid w:val="00F41CC4"/>
    <w:rsid w:val="00F42CE3"/>
    <w:rsid w:val="00F42DD0"/>
    <w:rsid w:val="00F432B5"/>
    <w:rsid w:val="00F43349"/>
    <w:rsid w:val="00F43593"/>
    <w:rsid w:val="00F44930"/>
    <w:rsid w:val="00F45CBE"/>
    <w:rsid w:val="00F4600D"/>
    <w:rsid w:val="00F47242"/>
    <w:rsid w:val="00F47861"/>
    <w:rsid w:val="00F47DEB"/>
    <w:rsid w:val="00F503AD"/>
    <w:rsid w:val="00F50F02"/>
    <w:rsid w:val="00F50F98"/>
    <w:rsid w:val="00F51098"/>
    <w:rsid w:val="00F51C59"/>
    <w:rsid w:val="00F51D8A"/>
    <w:rsid w:val="00F51E72"/>
    <w:rsid w:val="00F52655"/>
    <w:rsid w:val="00F531C6"/>
    <w:rsid w:val="00F53A50"/>
    <w:rsid w:val="00F53BAB"/>
    <w:rsid w:val="00F5402C"/>
    <w:rsid w:val="00F54865"/>
    <w:rsid w:val="00F549E5"/>
    <w:rsid w:val="00F550BC"/>
    <w:rsid w:val="00F55227"/>
    <w:rsid w:val="00F552B1"/>
    <w:rsid w:val="00F5584E"/>
    <w:rsid w:val="00F55900"/>
    <w:rsid w:val="00F55CF0"/>
    <w:rsid w:val="00F560E1"/>
    <w:rsid w:val="00F56126"/>
    <w:rsid w:val="00F566F0"/>
    <w:rsid w:val="00F566F2"/>
    <w:rsid w:val="00F568F3"/>
    <w:rsid w:val="00F56967"/>
    <w:rsid w:val="00F56FE5"/>
    <w:rsid w:val="00F57366"/>
    <w:rsid w:val="00F57AB4"/>
    <w:rsid w:val="00F57D3A"/>
    <w:rsid w:val="00F57DC1"/>
    <w:rsid w:val="00F60207"/>
    <w:rsid w:val="00F603E7"/>
    <w:rsid w:val="00F60DBE"/>
    <w:rsid w:val="00F613F0"/>
    <w:rsid w:val="00F61570"/>
    <w:rsid w:val="00F61725"/>
    <w:rsid w:val="00F6173E"/>
    <w:rsid w:val="00F61C96"/>
    <w:rsid w:val="00F61CB9"/>
    <w:rsid w:val="00F61CBD"/>
    <w:rsid w:val="00F61D8C"/>
    <w:rsid w:val="00F61FF2"/>
    <w:rsid w:val="00F62889"/>
    <w:rsid w:val="00F62FA6"/>
    <w:rsid w:val="00F631B1"/>
    <w:rsid w:val="00F63698"/>
    <w:rsid w:val="00F63E96"/>
    <w:rsid w:val="00F642AD"/>
    <w:rsid w:val="00F650E5"/>
    <w:rsid w:val="00F65C2F"/>
    <w:rsid w:val="00F65E70"/>
    <w:rsid w:val="00F66033"/>
    <w:rsid w:val="00F660A6"/>
    <w:rsid w:val="00F665B4"/>
    <w:rsid w:val="00F66B39"/>
    <w:rsid w:val="00F67780"/>
    <w:rsid w:val="00F70367"/>
    <w:rsid w:val="00F70500"/>
    <w:rsid w:val="00F70817"/>
    <w:rsid w:val="00F71468"/>
    <w:rsid w:val="00F716BD"/>
    <w:rsid w:val="00F71729"/>
    <w:rsid w:val="00F71ACE"/>
    <w:rsid w:val="00F72C06"/>
    <w:rsid w:val="00F7301F"/>
    <w:rsid w:val="00F733CD"/>
    <w:rsid w:val="00F73427"/>
    <w:rsid w:val="00F73694"/>
    <w:rsid w:val="00F73877"/>
    <w:rsid w:val="00F7418F"/>
    <w:rsid w:val="00F74476"/>
    <w:rsid w:val="00F74CF8"/>
    <w:rsid w:val="00F74FDF"/>
    <w:rsid w:val="00F75220"/>
    <w:rsid w:val="00F7548F"/>
    <w:rsid w:val="00F75966"/>
    <w:rsid w:val="00F7612A"/>
    <w:rsid w:val="00F7614D"/>
    <w:rsid w:val="00F762A7"/>
    <w:rsid w:val="00F7647E"/>
    <w:rsid w:val="00F7719B"/>
    <w:rsid w:val="00F77688"/>
    <w:rsid w:val="00F776CB"/>
    <w:rsid w:val="00F77992"/>
    <w:rsid w:val="00F77C8D"/>
    <w:rsid w:val="00F80127"/>
    <w:rsid w:val="00F8014C"/>
    <w:rsid w:val="00F80349"/>
    <w:rsid w:val="00F806EF"/>
    <w:rsid w:val="00F80F89"/>
    <w:rsid w:val="00F81779"/>
    <w:rsid w:val="00F817BF"/>
    <w:rsid w:val="00F82592"/>
    <w:rsid w:val="00F829F8"/>
    <w:rsid w:val="00F82A64"/>
    <w:rsid w:val="00F8338B"/>
    <w:rsid w:val="00F8352A"/>
    <w:rsid w:val="00F8366F"/>
    <w:rsid w:val="00F83869"/>
    <w:rsid w:val="00F83FCD"/>
    <w:rsid w:val="00F84058"/>
    <w:rsid w:val="00F847E8"/>
    <w:rsid w:val="00F84A6E"/>
    <w:rsid w:val="00F852D4"/>
    <w:rsid w:val="00F853FD"/>
    <w:rsid w:val="00F858D9"/>
    <w:rsid w:val="00F85CA7"/>
    <w:rsid w:val="00F85D2B"/>
    <w:rsid w:val="00F85EF1"/>
    <w:rsid w:val="00F86284"/>
    <w:rsid w:val="00F86A41"/>
    <w:rsid w:val="00F86C15"/>
    <w:rsid w:val="00F86D66"/>
    <w:rsid w:val="00F86F39"/>
    <w:rsid w:val="00F87348"/>
    <w:rsid w:val="00F877CB"/>
    <w:rsid w:val="00F878FD"/>
    <w:rsid w:val="00F87C9A"/>
    <w:rsid w:val="00F90704"/>
    <w:rsid w:val="00F90942"/>
    <w:rsid w:val="00F90C29"/>
    <w:rsid w:val="00F90DCE"/>
    <w:rsid w:val="00F90FC2"/>
    <w:rsid w:val="00F91309"/>
    <w:rsid w:val="00F9144B"/>
    <w:rsid w:val="00F918A6"/>
    <w:rsid w:val="00F91B02"/>
    <w:rsid w:val="00F91D70"/>
    <w:rsid w:val="00F92180"/>
    <w:rsid w:val="00F92973"/>
    <w:rsid w:val="00F93273"/>
    <w:rsid w:val="00F932B1"/>
    <w:rsid w:val="00F93366"/>
    <w:rsid w:val="00F93BDB"/>
    <w:rsid w:val="00F93F68"/>
    <w:rsid w:val="00F94368"/>
    <w:rsid w:val="00F951A1"/>
    <w:rsid w:val="00F95B83"/>
    <w:rsid w:val="00F95D03"/>
    <w:rsid w:val="00F95D99"/>
    <w:rsid w:val="00F95E67"/>
    <w:rsid w:val="00F96078"/>
    <w:rsid w:val="00F96652"/>
    <w:rsid w:val="00F9693A"/>
    <w:rsid w:val="00F96D66"/>
    <w:rsid w:val="00F978BD"/>
    <w:rsid w:val="00F97DB4"/>
    <w:rsid w:val="00F97F16"/>
    <w:rsid w:val="00FA0156"/>
    <w:rsid w:val="00FA0712"/>
    <w:rsid w:val="00FA0FFA"/>
    <w:rsid w:val="00FA1A52"/>
    <w:rsid w:val="00FA1BA9"/>
    <w:rsid w:val="00FA23C0"/>
    <w:rsid w:val="00FA2B17"/>
    <w:rsid w:val="00FA2B9D"/>
    <w:rsid w:val="00FA2E6C"/>
    <w:rsid w:val="00FA2F82"/>
    <w:rsid w:val="00FA3163"/>
    <w:rsid w:val="00FA382B"/>
    <w:rsid w:val="00FA3CA4"/>
    <w:rsid w:val="00FA4900"/>
    <w:rsid w:val="00FA4B6A"/>
    <w:rsid w:val="00FA4EB2"/>
    <w:rsid w:val="00FA5EE6"/>
    <w:rsid w:val="00FA6E33"/>
    <w:rsid w:val="00FA6F1A"/>
    <w:rsid w:val="00FA6F68"/>
    <w:rsid w:val="00FA7433"/>
    <w:rsid w:val="00FA7547"/>
    <w:rsid w:val="00FA7707"/>
    <w:rsid w:val="00FA7AE1"/>
    <w:rsid w:val="00FA7AE3"/>
    <w:rsid w:val="00FA7B3B"/>
    <w:rsid w:val="00FB0DDF"/>
    <w:rsid w:val="00FB1122"/>
    <w:rsid w:val="00FB1622"/>
    <w:rsid w:val="00FB1637"/>
    <w:rsid w:val="00FB16F3"/>
    <w:rsid w:val="00FB1A52"/>
    <w:rsid w:val="00FB22A3"/>
    <w:rsid w:val="00FB2BC6"/>
    <w:rsid w:val="00FB3088"/>
    <w:rsid w:val="00FB321F"/>
    <w:rsid w:val="00FB35D2"/>
    <w:rsid w:val="00FB3744"/>
    <w:rsid w:val="00FB449C"/>
    <w:rsid w:val="00FB4A9E"/>
    <w:rsid w:val="00FB4F8F"/>
    <w:rsid w:val="00FB55A3"/>
    <w:rsid w:val="00FB5C9B"/>
    <w:rsid w:val="00FB5D42"/>
    <w:rsid w:val="00FB5E7B"/>
    <w:rsid w:val="00FB5FAA"/>
    <w:rsid w:val="00FB6198"/>
    <w:rsid w:val="00FB641F"/>
    <w:rsid w:val="00FB6475"/>
    <w:rsid w:val="00FB67A9"/>
    <w:rsid w:val="00FB72AC"/>
    <w:rsid w:val="00FB7DC5"/>
    <w:rsid w:val="00FC0001"/>
    <w:rsid w:val="00FC0717"/>
    <w:rsid w:val="00FC0D26"/>
    <w:rsid w:val="00FC1095"/>
    <w:rsid w:val="00FC10D6"/>
    <w:rsid w:val="00FC1636"/>
    <w:rsid w:val="00FC1BD6"/>
    <w:rsid w:val="00FC2062"/>
    <w:rsid w:val="00FC21E0"/>
    <w:rsid w:val="00FC3B3C"/>
    <w:rsid w:val="00FC3C74"/>
    <w:rsid w:val="00FC4BD6"/>
    <w:rsid w:val="00FC5090"/>
    <w:rsid w:val="00FC52DF"/>
    <w:rsid w:val="00FC53D7"/>
    <w:rsid w:val="00FC5604"/>
    <w:rsid w:val="00FC58D9"/>
    <w:rsid w:val="00FC599A"/>
    <w:rsid w:val="00FC60C3"/>
    <w:rsid w:val="00FC619A"/>
    <w:rsid w:val="00FC6897"/>
    <w:rsid w:val="00FC6B2D"/>
    <w:rsid w:val="00FC6B75"/>
    <w:rsid w:val="00FC6D0B"/>
    <w:rsid w:val="00FC76E6"/>
    <w:rsid w:val="00FC781A"/>
    <w:rsid w:val="00FC79D4"/>
    <w:rsid w:val="00FC7B04"/>
    <w:rsid w:val="00FC7C47"/>
    <w:rsid w:val="00FD10ED"/>
    <w:rsid w:val="00FD1FD3"/>
    <w:rsid w:val="00FD20D0"/>
    <w:rsid w:val="00FD21AF"/>
    <w:rsid w:val="00FD21B0"/>
    <w:rsid w:val="00FD23A3"/>
    <w:rsid w:val="00FD2587"/>
    <w:rsid w:val="00FD25BE"/>
    <w:rsid w:val="00FD2B47"/>
    <w:rsid w:val="00FD2C50"/>
    <w:rsid w:val="00FD3015"/>
    <w:rsid w:val="00FD3429"/>
    <w:rsid w:val="00FD3F45"/>
    <w:rsid w:val="00FD4071"/>
    <w:rsid w:val="00FD465A"/>
    <w:rsid w:val="00FD4FB8"/>
    <w:rsid w:val="00FD5811"/>
    <w:rsid w:val="00FD617D"/>
    <w:rsid w:val="00FD6D17"/>
    <w:rsid w:val="00FD73E9"/>
    <w:rsid w:val="00FD7F12"/>
    <w:rsid w:val="00FE02E9"/>
    <w:rsid w:val="00FE05E3"/>
    <w:rsid w:val="00FE0716"/>
    <w:rsid w:val="00FE0907"/>
    <w:rsid w:val="00FE0A01"/>
    <w:rsid w:val="00FE2463"/>
    <w:rsid w:val="00FE2728"/>
    <w:rsid w:val="00FE2FAA"/>
    <w:rsid w:val="00FE33E4"/>
    <w:rsid w:val="00FE3458"/>
    <w:rsid w:val="00FE376F"/>
    <w:rsid w:val="00FE417F"/>
    <w:rsid w:val="00FE4605"/>
    <w:rsid w:val="00FE4857"/>
    <w:rsid w:val="00FE5292"/>
    <w:rsid w:val="00FE6580"/>
    <w:rsid w:val="00FE67E2"/>
    <w:rsid w:val="00FE69C7"/>
    <w:rsid w:val="00FE6C5A"/>
    <w:rsid w:val="00FE6DEB"/>
    <w:rsid w:val="00FE70A7"/>
    <w:rsid w:val="00FE7382"/>
    <w:rsid w:val="00FE73A5"/>
    <w:rsid w:val="00FE7642"/>
    <w:rsid w:val="00FE7EBD"/>
    <w:rsid w:val="00FF01E6"/>
    <w:rsid w:val="00FF0234"/>
    <w:rsid w:val="00FF0270"/>
    <w:rsid w:val="00FF0D8F"/>
    <w:rsid w:val="00FF0DB5"/>
    <w:rsid w:val="00FF18BF"/>
    <w:rsid w:val="00FF1DB2"/>
    <w:rsid w:val="00FF1EE5"/>
    <w:rsid w:val="00FF245E"/>
    <w:rsid w:val="00FF249A"/>
    <w:rsid w:val="00FF2653"/>
    <w:rsid w:val="00FF319C"/>
    <w:rsid w:val="00FF3371"/>
    <w:rsid w:val="00FF3CA8"/>
    <w:rsid w:val="00FF44A9"/>
    <w:rsid w:val="00FF4AE6"/>
    <w:rsid w:val="00FF4C1F"/>
    <w:rsid w:val="00FF4FF3"/>
    <w:rsid w:val="00FF54F5"/>
    <w:rsid w:val="00FF5A48"/>
    <w:rsid w:val="00FF5C70"/>
    <w:rsid w:val="00FF60DE"/>
    <w:rsid w:val="00FF6A80"/>
    <w:rsid w:val="00FF7109"/>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895D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60338"/>
    <w:pPr>
      <w:tabs>
        <w:tab w:val="left" w:pos="851"/>
      </w:tabs>
      <w:spacing w:before="180" w:after="120" w:line="240" w:lineRule="auto"/>
      <w:jc w:val="both"/>
    </w:pPr>
    <w:rPr>
      <w:rFonts w:ascii="Arial" w:eastAsiaTheme="minorEastAsia" w:hAnsi="Arial" w:cs="Arial"/>
      <w:sz w:val="20"/>
      <w:lang w:bidi="en-US"/>
    </w:rPr>
  </w:style>
  <w:style w:type="paragraph" w:styleId="Ttulo1">
    <w:name w:val="heading 1"/>
    <w:basedOn w:val="Normal"/>
    <w:next w:val="Normal"/>
    <w:link w:val="Ttulo1Car"/>
    <w:rsid w:val="00160338"/>
    <w:pPr>
      <w:keepNext/>
      <w:keepLines/>
      <w:spacing w:before="480" w:after="0"/>
      <w:outlineLvl w:val="0"/>
    </w:pPr>
    <w:rPr>
      <w:rFonts w:asciiTheme="majorHAnsi" w:eastAsiaTheme="majorEastAsia" w:hAnsiTheme="majorHAnsi" w:cstheme="majorBidi"/>
      <w:b/>
      <w:bCs/>
      <w:color w:val="365F91" w:themeColor="accent1" w:themeShade="BF"/>
      <w:sz w:val="28"/>
      <w:szCs w:val="28"/>
      <w:lang w:bidi="ar-SA"/>
    </w:rPr>
  </w:style>
  <w:style w:type="paragraph" w:styleId="Ttulo2">
    <w:name w:val="heading 2"/>
    <w:aliases w:val="h2,Heading 2 Char Char"/>
    <w:basedOn w:val="Normal"/>
    <w:next w:val="Normal"/>
    <w:link w:val="Ttulo2Car"/>
    <w:unhideWhenUsed/>
    <w:rsid w:val="00160338"/>
    <w:pPr>
      <w:keepNext/>
      <w:keepLines/>
      <w:spacing w:before="200" w:after="0"/>
      <w:outlineLvl w:val="1"/>
    </w:pPr>
    <w:rPr>
      <w:rFonts w:asciiTheme="majorHAnsi" w:eastAsiaTheme="majorEastAsia" w:hAnsiTheme="majorHAnsi" w:cstheme="majorBidi"/>
      <w:b/>
      <w:bCs/>
      <w:color w:val="4F81BD" w:themeColor="accent1"/>
      <w:sz w:val="26"/>
      <w:szCs w:val="26"/>
      <w:lang w:bidi="ar-SA"/>
    </w:rPr>
  </w:style>
  <w:style w:type="paragraph" w:styleId="Ttulo3">
    <w:name w:val="heading 3"/>
    <w:aliases w:val="Heading 3 Char1,h3 Char Char,Heading 3 Char Char,h3 Char,h3"/>
    <w:basedOn w:val="Normal"/>
    <w:next w:val="Normal"/>
    <w:link w:val="Ttulo3Car"/>
    <w:unhideWhenUsed/>
    <w:rsid w:val="00160338"/>
    <w:pPr>
      <w:keepNext/>
      <w:keepLines/>
      <w:numPr>
        <w:numId w:val="1"/>
      </w:numPr>
      <w:spacing w:before="200" w:after="0"/>
      <w:outlineLvl w:val="2"/>
    </w:pPr>
    <w:rPr>
      <w:rFonts w:asciiTheme="majorHAnsi" w:eastAsiaTheme="majorEastAsia" w:hAnsiTheme="majorHAnsi" w:cstheme="majorBidi"/>
      <w:b/>
      <w:bCs/>
      <w:color w:val="4F81BD" w:themeColor="accent1"/>
      <w:szCs w:val="24"/>
      <w:lang w:bidi="ar-SA"/>
    </w:rPr>
  </w:style>
  <w:style w:type="paragraph" w:styleId="Ttulo4">
    <w:name w:val="heading 4"/>
    <w:basedOn w:val="Normal"/>
    <w:next w:val="Normal"/>
    <w:link w:val="Ttulo4Car"/>
    <w:unhideWhenUsed/>
    <w:rsid w:val="00160338"/>
    <w:pPr>
      <w:keepNext/>
      <w:keepLines/>
      <w:spacing w:before="200" w:after="0"/>
      <w:outlineLvl w:val="3"/>
    </w:pPr>
    <w:rPr>
      <w:rFonts w:asciiTheme="majorHAnsi" w:eastAsiaTheme="majorEastAsia" w:hAnsiTheme="majorHAnsi" w:cstheme="majorBidi"/>
      <w:b/>
      <w:bCs/>
      <w:i/>
      <w:iCs/>
      <w:color w:val="4F81BD" w:themeColor="accent1"/>
      <w:szCs w:val="24"/>
      <w:lang w:bidi="ar-SA"/>
    </w:rPr>
  </w:style>
  <w:style w:type="paragraph" w:styleId="Ttulo5">
    <w:name w:val="heading 5"/>
    <w:basedOn w:val="Normal"/>
    <w:next w:val="Normal"/>
    <w:link w:val="Ttulo5Car"/>
    <w:uiPriority w:val="99"/>
    <w:unhideWhenUsed/>
    <w:rsid w:val="00160338"/>
    <w:pPr>
      <w:keepNext/>
      <w:keepLines/>
      <w:spacing w:before="200" w:after="0"/>
      <w:outlineLvl w:val="4"/>
    </w:pPr>
    <w:rPr>
      <w:rFonts w:asciiTheme="majorHAnsi" w:eastAsiaTheme="majorEastAsia" w:hAnsiTheme="majorHAnsi" w:cstheme="majorBidi"/>
      <w:color w:val="243F60" w:themeColor="accent1" w:themeShade="7F"/>
      <w:szCs w:val="24"/>
      <w:lang w:bidi="ar-SA"/>
    </w:rPr>
  </w:style>
  <w:style w:type="paragraph" w:styleId="Ttulo6">
    <w:name w:val="heading 6"/>
    <w:basedOn w:val="Normal"/>
    <w:next w:val="Normal"/>
    <w:link w:val="Ttulo6Car"/>
    <w:uiPriority w:val="99"/>
    <w:unhideWhenUsed/>
    <w:rsid w:val="00160338"/>
    <w:pPr>
      <w:keepNext/>
      <w:keepLines/>
      <w:spacing w:before="200" w:after="0"/>
      <w:outlineLvl w:val="5"/>
    </w:pPr>
    <w:rPr>
      <w:rFonts w:asciiTheme="majorHAnsi" w:eastAsiaTheme="majorEastAsia" w:hAnsiTheme="majorHAnsi" w:cstheme="majorBidi"/>
      <w:i/>
      <w:iCs/>
      <w:color w:val="243F60" w:themeColor="accent1" w:themeShade="7F"/>
      <w:szCs w:val="24"/>
      <w:lang w:bidi="ar-SA"/>
    </w:rPr>
  </w:style>
  <w:style w:type="paragraph" w:styleId="Ttulo7">
    <w:name w:val="heading 7"/>
    <w:basedOn w:val="Normal"/>
    <w:next w:val="Normal"/>
    <w:link w:val="Ttulo7Car"/>
    <w:uiPriority w:val="9"/>
    <w:unhideWhenUsed/>
    <w:rsid w:val="00160338"/>
    <w:pPr>
      <w:keepNext/>
      <w:keepLines/>
      <w:spacing w:before="200" w:after="0"/>
      <w:outlineLvl w:val="6"/>
    </w:pPr>
    <w:rPr>
      <w:rFonts w:asciiTheme="majorHAnsi" w:eastAsiaTheme="majorEastAsia" w:hAnsiTheme="majorHAnsi" w:cstheme="majorBidi"/>
      <w:i/>
      <w:iCs/>
      <w:color w:val="404040" w:themeColor="text1" w:themeTint="BF"/>
      <w:szCs w:val="24"/>
      <w:lang w:bidi="ar-SA"/>
    </w:rPr>
  </w:style>
  <w:style w:type="paragraph" w:styleId="Ttulo8">
    <w:name w:val="heading 8"/>
    <w:basedOn w:val="Normal"/>
    <w:next w:val="Normal"/>
    <w:link w:val="Ttulo8Car"/>
    <w:uiPriority w:val="9"/>
    <w:unhideWhenUsed/>
    <w:rsid w:val="00160338"/>
    <w:pPr>
      <w:keepNext/>
      <w:keepLines/>
      <w:spacing w:before="200" w:after="0"/>
      <w:outlineLvl w:val="7"/>
    </w:pPr>
    <w:rPr>
      <w:rFonts w:asciiTheme="majorHAnsi" w:eastAsiaTheme="majorEastAsia" w:hAnsiTheme="majorHAnsi" w:cstheme="majorBidi"/>
      <w:color w:val="404040" w:themeColor="text1" w:themeTint="BF"/>
      <w:szCs w:val="20"/>
      <w:lang w:bidi="ar-SA"/>
    </w:rPr>
  </w:style>
  <w:style w:type="paragraph" w:styleId="Ttulo9">
    <w:name w:val="heading 9"/>
    <w:basedOn w:val="Normal"/>
    <w:next w:val="Normal"/>
    <w:link w:val="Ttulo9Car"/>
    <w:uiPriority w:val="9"/>
    <w:unhideWhenUsed/>
    <w:rsid w:val="00160338"/>
    <w:pPr>
      <w:keepNext/>
      <w:keepLines/>
      <w:spacing w:before="200" w:after="0"/>
      <w:outlineLvl w:val="8"/>
    </w:pPr>
    <w:rPr>
      <w:rFonts w:asciiTheme="majorHAnsi" w:eastAsiaTheme="majorEastAsia" w:hAnsiTheme="majorHAnsi" w:cstheme="majorBidi"/>
      <w:i/>
      <w:iCs/>
      <w:color w:val="404040" w:themeColor="text1" w:themeTint="BF"/>
      <w:szCs w:val="20"/>
      <w:lang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160338"/>
    <w:rPr>
      <w:rFonts w:asciiTheme="majorHAnsi" w:eastAsiaTheme="majorEastAsia" w:hAnsiTheme="majorHAnsi" w:cstheme="majorBidi"/>
      <w:b/>
      <w:bCs/>
      <w:color w:val="365F91" w:themeColor="accent1" w:themeShade="BF"/>
      <w:sz w:val="28"/>
      <w:szCs w:val="28"/>
    </w:rPr>
  </w:style>
  <w:style w:type="character" w:customStyle="1" w:styleId="Ttulo2Car">
    <w:name w:val="Título 2 Car"/>
    <w:aliases w:val="h2 Car,Heading 2 Char Char Car"/>
    <w:basedOn w:val="Fuentedeprrafopredeter"/>
    <w:link w:val="Ttulo2"/>
    <w:rsid w:val="00160338"/>
    <w:rPr>
      <w:rFonts w:asciiTheme="majorHAnsi" w:eastAsiaTheme="majorEastAsia" w:hAnsiTheme="majorHAnsi" w:cstheme="majorBidi"/>
      <w:b/>
      <w:bCs/>
      <w:color w:val="4F81BD" w:themeColor="accent1"/>
      <w:sz w:val="26"/>
      <w:szCs w:val="26"/>
    </w:rPr>
  </w:style>
  <w:style w:type="character" w:customStyle="1" w:styleId="Ttulo3Car">
    <w:name w:val="Título 3 Car"/>
    <w:aliases w:val="Heading 3 Char1 Car,h3 Char Char Car,Heading 3 Char Char Car,h3 Char Car,h3 Car"/>
    <w:basedOn w:val="Fuentedeprrafopredeter"/>
    <w:link w:val="Ttulo3"/>
    <w:rsid w:val="00160338"/>
    <w:rPr>
      <w:rFonts w:asciiTheme="majorHAnsi" w:eastAsiaTheme="majorEastAsia" w:hAnsiTheme="majorHAnsi" w:cstheme="majorBidi"/>
      <w:b/>
      <w:bCs/>
      <w:color w:val="4F81BD" w:themeColor="accent1"/>
      <w:sz w:val="20"/>
      <w:szCs w:val="24"/>
    </w:rPr>
  </w:style>
  <w:style w:type="character" w:customStyle="1" w:styleId="Ttulo4Car">
    <w:name w:val="Título 4 Car"/>
    <w:basedOn w:val="Fuentedeprrafopredeter"/>
    <w:link w:val="Ttulo4"/>
    <w:rsid w:val="00160338"/>
    <w:rPr>
      <w:rFonts w:asciiTheme="majorHAnsi" w:eastAsiaTheme="majorEastAsia" w:hAnsiTheme="majorHAnsi" w:cstheme="majorBidi"/>
      <w:b/>
      <w:bCs/>
      <w:i/>
      <w:iCs/>
      <w:color w:val="4F81BD" w:themeColor="accent1"/>
      <w:sz w:val="20"/>
      <w:szCs w:val="24"/>
    </w:rPr>
  </w:style>
  <w:style w:type="character" w:customStyle="1" w:styleId="Ttulo5Car">
    <w:name w:val="Título 5 Car"/>
    <w:basedOn w:val="Fuentedeprrafopredeter"/>
    <w:link w:val="Ttulo5"/>
    <w:uiPriority w:val="99"/>
    <w:rsid w:val="00160338"/>
    <w:rPr>
      <w:rFonts w:asciiTheme="majorHAnsi" w:eastAsiaTheme="majorEastAsia" w:hAnsiTheme="majorHAnsi" w:cstheme="majorBidi"/>
      <w:color w:val="243F60" w:themeColor="accent1" w:themeShade="7F"/>
      <w:sz w:val="20"/>
      <w:szCs w:val="24"/>
    </w:rPr>
  </w:style>
  <w:style w:type="character" w:customStyle="1" w:styleId="Ttulo6Car">
    <w:name w:val="Título 6 Car"/>
    <w:basedOn w:val="Fuentedeprrafopredeter"/>
    <w:link w:val="Ttulo6"/>
    <w:uiPriority w:val="99"/>
    <w:rsid w:val="00160338"/>
    <w:rPr>
      <w:rFonts w:asciiTheme="majorHAnsi" w:eastAsiaTheme="majorEastAsia" w:hAnsiTheme="majorHAnsi" w:cstheme="majorBidi"/>
      <w:i/>
      <w:iCs/>
      <w:color w:val="243F60" w:themeColor="accent1" w:themeShade="7F"/>
      <w:sz w:val="20"/>
      <w:szCs w:val="24"/>
    </w:rPr>
  </w:style>
  <w:style w:type="character" w:customStyle="1" w:styleId="Ttulo7Car">
    <w:name w:val="Título 7 Car"/>
    <w:basedOn w:val="Fuentedeprrafopredeter"/>
    <w:link w:val="Ttulo7"/>
    <w:uiPriority w:val="9"/>
    <w:rsid w:val="00160338"/>
    <w:rPr>
      <w:rFonts w:asciiTheme="majorHAnsi" w:eastAsiaTheme="majorEastAsia" w:hAnsiTheme="majorHAnsi" w:cstheme="majorBidi"/>
      <w:i/>
      <w:iCs/>
      <w:color w:val="404040" w:themeColor="text1" w:themeTint="BF"/>
      <w:sz w:val="20"/>
      <w:szCs w:val="24"/>
    </w:rPr>
  </w:style>
  <w:style w:type="character" w:customStyle="1" w:styleId="Ttulo8Car">
    <w:name w:val="Título 8 Car"/>
    <w:basedOn w:val="Fuentedeprrafopredeter"/>
    <w:link w:val="Ttulo8"/>
    <w:uiPriority w:val="9"/>
    <w:rsid w:val="00160338"/>
    <w:rPr>
      <w:rFonts w:asciiTheme="majorHAnsi" w:eastAsiaTheme="majorEastAsia" w:hAnsiTheme="majorHAnsi" w:cstheme="majorBidi"/>
      <w:color w:val="404040" w:themeColor="text1" w:themeTint="BF"/>
      <w:sz w:val="20"/>
      <w:szCs w:val="20"/>
    </w:rPr>
  </w:style>
  <w:style w:type="character" w:customStyle="1" w:styleId="Ttulo9Car">
    <w:name w:val="Título 9 Car"/>
    <w:basedOn w:val="Fuentedeprrafopredeter"/>
    <w:link w:val="Ttulo9"/>
    <w:uiPriority w:val="9"/>
    <w:rsid w:val="00160338"/>
    <w:rPr>
      <w:rFonts w:asciiTheme="majorHAnsi" w:eastAsiaTheme="majorEastAsia" w:hAnsiTheme="majorHAnsi" w:cstheme="majorBidi"/>
      <w:i/>
      <w:iCs/>
      <w:color w:val="404040" w:themeColor="text1" w:themeTint="BF"/>
      <w:sz w:val="20"/>
      <w:szCs w:val="20"/>
    </w:rPr>
  </w:style>
  <w:style w:type="paragraph" w:customStyle="1" w:styleId="Captulo">
    <w:name w:val="Capítulo"/>
    <w:basedOn w:val="Normal"/>
    <w:link w:val="CaptuloCar"/>
    <w:autoRedefine/>
    <w:qFormat/>
    <w:rsid w:val="00361661"/>
    <w:pPr>
      <w:pageBreakBefore/>
      <w:numPr>
        <w:numId w:val="4"/>
      </w:numPr>
      <w:tabs>
        <w:tab w:val="clear" w:pos="851"/>
      </w:tabs>
      <w:spacing w:before="720" w:after="720" w:line="22" w:lineRule="atLeast"/>
      <w:ind w:left="0"/>
      <w:jc w:val="center"/>
    </w:pPr>
    <w:rPr>
      <w:rFonts w:asciiTheme="minorHAnsi" w:hAnsiTheme="minorHAnsi"/>
      <w:b/>
      <w:sz w:val="36"/>
      <w:szCs w:val="30"/>
      <w:lang w:val="es-ES_tradnl"/>
    </w:rPr>
  </w:style>
  <w:style w:type="character" w:customStyle="1" w:styleId="CaptuloCar">
    <w:name w:val="Capítulo Car"/>
    <w:basedOn w:val="Fuentedeprrafopredeter"/>
    <w:link w:val="Captulo"/>
    <w:rsid w:val="00361661"/>
    <w:rPr>
      <w:rFonts w:eastAsiaTheme="minorEastAsia" w:cs="Arial"/>
      <w:b/>
      <w:sz w:val="36"/>
      <w:szCs w:val="30"/>
      <w:lang w:val="es-ES_tradnl" w:bidi="en-US"/>
    </w:rPr>
  </w:style>
  <w:style w:type="paragraph" w:customStyle="1" w:styleId="Seccin">
    <w:name w:val="Sección"/>
    <w:basedOn w:val="Normal"/>
    <w:next w:val="Numeral"/>
    <w:link w:val="SeccinCar"/>
    <w:qFormat/>
    <w:rsid w:val="000D70DD"/>
    <w:pPr>
      <w:keepNext/>
      <w:numPr>
        <w:ilvl w:val="1"/>
        <w:numId w:val="4"/>
      </w:numPr>
      <w:tabs>
        <w:tab w:val="clear" w:pos="851"/>
      </w:tabs>
      <w:spacing w:before="480" w:after="240"/>
    </w:pPr>
    <w:rPr>
      <w:rFonts w:asciiTheme="minorHAnsi" w:hAnsiTheme="minorHAnsi"/>
      <w:b/>
      <w:sz w:val="28"/>
      <w:szCs w:val="26"/>
      <w:lang w:val="es-ES_tradnl"/>
    </w:rPr>
  </w:style>
  <w:style w:type="paragraph" w:customStyle="1" w:styleId="Numeral">
    <w:name w:val="Numeral"/>
    <w:basedOn w:val="Normal"/>
    <w:link w:val="NumeralCar"/>
    <w:qFormat/>
    <w:rsid w:val="009328C6"/>
    <w:pPr>
      <w:numPr>
        <w:ilvl w:val="2"/>
        <w:numId w:val="4"/>
      </w:numPr>
      <w:spacing w:before="240" w:after="180"/>
    </w:pPr>
    <w:rPr>
      <w:rFonts w:asciiTheme="minorHAnsi" w:hAnsiTheme="minorHAnsi"/>
      <w:sz w:val="22"/>
      <w:lang w:val="es-ES_tradnl"/>
    </w:rPr>
  </w:style>
  <w:style w:type="character" w:customStyle="1" w:styleId="NumeralCar">
    <w:name w:val="Numeral Car"/>
    <w:basedOn w:val="Fuentedeprrafopredeter"/>
    <w:link w:val="Numeral"/>
    <w:rsid w:val="005E311D"/>
    <w:rPr>
      <w:rFonts w:eastAsiaTheme="minorEastAsia" w:cs="Arial"/>
      <w:lang w:val="es-ES_tradnl" w:bidi="en-US"/>
    </w:rPr>
  </w:style>
  <w:style w:type="character" w:customStyle="1" w:styleId="SeccinCar">
    <w:name w:val="Sección Car"/>
    <w:basedOn w:val="Fuentedeprrafopredeter"/>
    <w:link w:val="Seccin"/>
    <w:rsid w:val="00160338"/>
    <w:rPr>
      <w:rFonts w:eastAsiaTheme="minorEastAsia" w:cs="Arial"/>
      <w:b/>
      <w:sz w:val="28"/>
      <w:szCs w:val="26"/>
      <w:lang w:val="es-ES_tradnl" w:bidi="en-US"/>
    </w:rPr>
  </w:style>
  <w:style w:type="paragraph" w:customStyle="1" w:styleId="Inciso">
    <w:name w:val="Inciso"/>
    <w:basedOn w:val="Normal"/>
    <w:next w:val="Subinciso"/>
    <w:link w:val="IncisoCar"/>
    <w:qFormat/>
    <w:rsid w:val="009328C6"/>
    <w:pPr>
      <w:numPr>
        <w:ilvl w:val="3"/>
        <w:numId w:val="4"/>
      </w:numPr>
      <w:tabs>
        <w:tab w:val="clear" w:pos="851"/>
      </w:tabs>
    </w:pPr>
    <w:rPr>
      <w:rFonts w:asciiTheme="minorHAnsi" w:hAnsiTheme="minorHAnsi"/>
      <w:sz w:val="22"/>
      <w:lang w:val="es-ES_tradnl"/>
    </w:rPr>
  </w:style>
  <w:style w:type="character" w:customStyle="1" w:styleId="IncisoCar">
    <w:name w:val="Inciso Car"/>
    <w:basedOn w:val="Fuentedeprrafopredeter"/>
    <w:link w:val="Inciso"/>
    <w:rsid w:val="005E311D"/>
    <w:rPr>
      <w:rFonts w:eastAsiaTheme="minorEastAsia" w:cs="Arial"/>
      <w:lang w:val="es-ES_tradnl" w:bidi="en-US"/>
    </w:rPr>
  </w:style>
  <w:style w:type="paragraph" w:customStyle="1" w:styleId="Subinciso">
    <w:name w:val="Subinciso"/>
    <w:basedOn w:val="Normal"/>
    <w:link w:val="SubincisoCar"/>
    <w:qFormat/>
    <w:rsid w:val="009328C6"/>
    <w:pPr>
      <w:numPr>
        <w:ilvl w:val="4"/>
        <w:numId w:val="4"/>
      </w:numPr>
      <w:tabs>
        <w:tab w:val="left" w:pos="1985"/>
      </w:tabs>
    </w:pPr>
    <w:rPr>
      <w:rFonts w:asciiTheme="minorHAnsi" w:hAnsiTheme="minorHAnsi"/>
      <w:sz w:val="22"/>
      <w:lang w:val="es-ES_tradnl"/>
    </w:rPr>
  </w:style>
  <w:style w:type="character" w:customStyle="1" w:styleId="SubincisoCar">
    <w:name w:val="Subinciso Car"/>
    <w:basedOn w:val="Fuentedeprrafopredeter"/>
    <w:link w:val="Subinciso"/>
    <w:rsid w:val="005E311D"/>
    <w:rPr>
      <w:rFonts w:eastAsiaTheme="minorEastAsia" w:cs="Arial"/>
      <w:lang w:val="es-ES_tradnl" w:bidi="en-US"/>
    </w:rPr>
  </w:style>
  <w:style w:type="paragraph" w:customStyle="1" w:styleId="Apartado">
    <w:name w:val="Apartado"/>
    <w:basedOn w:val="SubApartado0"/>
    <w:link w:val="ApartadoCar"/>
    <w:qFormat/>
    <w:rsid w:val="008B7341"/>
    <w:pPr>
      <w:numPr>
        <w:ilvl w:val="0"/>
        <w:numId w:val="0"/>
      </w:numPr>
    </w:pPr>
    <w:rPr>
      <w:rFonts w:asciiTheme="minorHAnsi" w:hAnsiTheme="minorHAnsi" w:cstheme="minorHAnsi"/>
      <w:sz w:val="22"/>
    </w:rPr>
  </w:style>
  <w:style w:type="character" w:customStyle="1" w:styleId="ApartadoCar">
    <w:name w:val="Apartado Car"/>
    <w:basedOn w:val="Fuentedeprrafopredeter"/>
    <w:link w:val="Apartado"/>
    <w:rsid w:val="005E311D"/>
    <w:rPr>
      <w:rFonts w:eastAsiaTheme="minorEastAsia" w:cstheme="minorHAnsi"/>
      <w:lang w:bidi="en-US"/>
    </w:rPr>
  </w:style>
  <w:style w:type="paragraph" w:customStyle="1" w:styleId="Subseccin">
    <w:name w:val="Subsección"/>
    <w:basedOn w:val="Normal"/>
    <w:next w:val="SSNumeral"/>
    <w:link w:val="SubseccinCar"/>
    <w:qFormat/>
    <w:rsid w:val="00160338"/>
    <w:pPr>
      <w:keepNext/>
      <w:tabs>
        <w:tab w:val="left" w:pos="1418"/>
      </w:tabs>
      <w:spacing w:before="480" w:after="360"/>
    </w:pPr>
    <w:rPr>
      <w:b/>
      <w:sz w:val="24"/>
    </w:rPr>
  </w:style>
  <w:style w:type="paragraph" w:customStyle="1" w:styleId="SSNumeral">
    <w:name w:val="SS Numeral"/>
    <w:basedOn w:val="Normal"/>
    <w:link w:val="SSNumeralCar"/>
    <w:qFormat/>
    <w:rsid w:val="00160338"/>
  </w:style>
  <w:style w:type="character" w:customStyle="1" w:styleId="SSNumeralCar">
    <w:name w:val="SS Numeral Car"/>
    <w:basedOn w:val="Fuentedeprrafopredeter"/>
    <w:link w:val="SSNumeral"/>
    <w:rsid w:val="00160338"/>
    <w:rPr>
      <w:rFonts w:ascii="Arial" w:eastAsiaTheme="minorEastAsia" w:hAnsi="Arial" w:cs="Arial"/>
      <w:sz w:val="20"/>
      <w:lang w:bidi="en-US"/>
    </w:rPr>
  </w:style>
  <w:style w:type="character" w:customStyle="1" w:styleId="SubseccinCar">
    <w:name w:val="Subsección Car"/>
    <w:basedOn w:val="Fuentedeprrafopredeter"/>
    <w:link w:val="Subseccin"/>
    <w:rsid w:val="00160338"/>
    <w:rPr>
      <w:rFonts w:ascii="Arial" w:eastAsiaTheme="minorEastAsia" w:hAnsi="Arial" w:cs="Arial"/>
      <w:b/>
      <w:sz w:val="24"/>
      <w:lang w:bidi="en-US"/>
    </w:rPr>
  </w:style>
  <w:style w:type="paragraph" w:customStyle="1" w:styleId="SSInciso">
    <w:name w:val="SS Inciso"/>
    <w:basedOn w:val="Normal"/>
    <w:link w:val="SSIncisoCar"/>
    <w:qFormat/>
    <w:rsid w:val="00160338"/>
    <w:pPr>
      <w:numPr>
        <w:ilvl w:val="7"/>
        <w:numId w:val="4"/>
      </w:numPr>
    </w:pPr>
  </w:style>
  <w:style w:type="character" w:customStyle="1" w:styleId="SSIncisoCar">
    <w:name w:val="SS Inciso Car"/>
    <w:basedOn w:val="Fuentedeprrafopredeter"/>
    <w:link w:val="SSInciso"/>
    <w:rsid w:val="00160338"/>
    <w:rPr>
      <w:rFonts w:ascii="Arial" w:eastAsiaTheme="minorEastAsia" w:hAnsi="Arial" w:cs="Arial"/>
      <w:sz w:val="20"/>
      <w:lang w:bidi="en-US"/>
    </w:rPr>
  </w:style>
  <w:style w:type="paragraph" w:customStyle="1" w:styleId="SSSubinciso">
    <w:name w:val="SS Subinciso"/>
    <w:basedOn w:val="Normal"/>
    <w:link w:val="SSSubincisoCar"/>
    <w:qFormat/>
    <w:rsid w:val="00160338"/>
    <w:pPr>
      <w:numPr>
        <w:ilvl w:val="8"/>
        <w:numId w:val="4"/>
      </w:numPr>
    </w:pPr>
  </w:style>
  <w:style w:type="character" w:customStyle="1" w:styleId="SSSubincisoCar">
    <w:name w:val="SS Subinciso Car"/>
    <w:basedOn w:val="Fuentedeprrafopredeter"/>
    <w:link w:val="SSSubinciso"/>
    <w:rsid w:val="00160338"/>
    <w:rPr>
      <w:rFonts w:ascii="Arial" w:eastAsiaTheme="minorEastAsia" w:hAnsi="Arial" w:cs="Arial"/>
      <w:sz w:val="20"/>
      <w:lang w:bidi="en-US"/>
    </w:rPr>
  </w:style>
  <w:style w:type="paragraph" w:customStyle="1" w:styleId="Tablanegrita">
    <w:name w:val="Tabla negrita"/>
    <w:basedOn w:val="Normal"/>
    <w:link w:val="TablanegritaCar"/>
    <w:qFormat/>
    <w:rsid w:val="00160338"/>
    <w:rPr>
      <w:b/>
      <w:szCs w:val="24"/>
    </w:rPr>
  </w:style>
  <w:style w:type="character" w:customStyle="1" w:styleId="TablanegritaCar">
    <w:name w:val="Tabla negrita Car"/>
    <w:basedOn w:val="Fuentedeprrafopredeter"/>
    <w:link w:val="Tablanegrita"/>
    <w:rsid w:val="00160338"/>
    <w:rPr>
      <w:rFonts w:ascii="Arial" w:eastAsiaTheme="minorEastAsia" w:hAnsi="Arial" w:cs="Arial"/>
      <w:b/>
      <w:sz w:val="20"/>
      <w:szCs w:val="24"/>
      <w:lang w:bidi="en-US"/>
    </w:rPr>
  </w:style>
  <w:style w:type="paragraph" w:customStyle="1" w:styleId="Texto1">
    <w:name w:val="Texto 1"/>
    <w:basedOn w:val="Normal"/>
    <w:link w:val="Texto1Car"/>
    <w:qFormat/>
    <w:rsid w:val="00160338"/>
    <w:rPr>
      <w:rFonts w:asciiTheme="minorHAnsi" w:eastAsia="Calibri" w:hAnsiTheme="minorHAnsi"/>
      <w:sz w:val="22"/>
      <w:lang w:val="en-US"/>
    </w:rPr>
  </w:style>
  <w:style w:type="character" w:customStyle="1" w:styleId="Texto1Car">
    <w:name w:val="Texto 1 Car"/>
    <w:basedOn w:val="Fuentedeprrafopredeter"/>
    <w:link w:val="Texto1"/>
    <w:rsid w:val="00160338"/>
    <w:rPr>
      <w:rFonts w:eastAsia="Calibri" w:cs="Arial"/>
      <w:lang w:val="en-US" w:bidi="en-US"/>
    </w:rPr>
  </w:style>
  <w:style w:type="paragraph" w:customStyle="1" w:styleId="Tablageneral">
    <w:name w:val="Tabla general"/>
    <w:basedOn w:val="Normal"/>
    <w:link w:val="TablageneralCar"/>
    <w:qFormat/>
    <w:rsid w:val="00160338"/>
    <w:pPr>
      <w:jc w:val="left"/>
    </w:pPr>
    <w:rPr>
      <w:szCs w:val="24"/>
    </w:rPr>
  </w:style>
  <w:style w:type="character" w:customStyle="1" w:styleId="TablageneralCar">
    <w:name w:val="Tabla general Car"/>
    <w:basedOn w:val="Fuentedeprrafopredeter"/>
    <w:link w:val="Tablageneral"/>
    <w:rsid w:val="00160338"/>
    <w:rPr>
      <w:rFonts w:ascii="Arial" w:eastAsiaTheme="minorEastAsia" w:hAnsi="Arial" w:cs="Arial"/>
      <w:sz w:val="20"/>
      <w:szCs w:val="24"/>
      <w:lang w:bidi="en-US"/>
    </w:rPr>
  </w:style>
  <w:style w:type="paragraph" w:customStyle="1" w:styleId="Texto2">
    <w:name w:val="Texto 2"/>
    <w:basedOn w:val="Numeral"/>
    <w:link w:val="Texto2Car"/>
    <w:qFormat/>
    <w:rsid w:val="008B7341"/>
    <w:pPr>
      <w:numPr>
        <w:ilvl w:val="0"/>
        <w:numId w:val="0"/>
      </w:numPr>
      <w:ind w:left="851"/>
    </w:pPr>
  </w:style>
  <w:style w:type="character" w:customStyle="1" w:styleId="Texto2Car">
    <w:name w:val="Texto 2 Car"/>
    <w:basedOn w:val="Fuentedeprrafopredeter"/>
    <w:link w:val="Texto2"/>
    <w:rsid w:val="00160338"/>
    <w:rPr>
      <w:rFonts w:eastAsiaTheme="minorEastAsia" w:cs="Arial"/>
      <w:lang w:val="es-ES_tradnl" w:bidi="en-US"/>
    </w:rPr>
  </w:style>
  <w:style w:type="paragraph" w:customStyle="1" w:styleId="Texto3">
    <w:name w:val="Texto 3"/>
    <w:basedOn w:val="Texto2"/>
    <w:link w:val="Texto3Car"/>
    <w:qFormat/>
    <w:rsid w:val="008B7341"/>
    <w:pPr>
      <w:ind w:left="1418"/>
    </w:pPr>
  </w:style>
  <w:style w:type="character" w:customStyle="1" w:styleId="Texto3Car">
    <w:name w:val="Texto 3 Car"/>
    <w:basedOn w:val="Fuentedeprrafopredeter"/>
    <w:link w:val="Texto3"/>
    <w:rsid w:val="00160338"/>
    <w:rPr>
      <w:rFonts w:eastAsiaTheme="minorEastAsia" w:cs="Arial"/>
      <w:lang w:val="es-ES_tradnl" w:bidi="en-US"/>
    </w:rPr>
  </w:style>
  <w:style w:type="paragraph" w:customStyle="1" w:styleId="Texto4">
    <w:name w:val="Texto 4"/>
    <w:basedOn w:val="Texto3"/>
    <w:link w:val="Texto4Car"/>
    <w:qFormat/>
    <w:rsid w:val="008B7341"/>
    <w:pPr>
      <w:ind w:left="1985"/>
    </w:pPr>
  </w:style>
  <w:style w:type="character" w:customStyle="1" w:styleId="Texto4Car">
    <w:name w:val="Texto 4 Car"/>
    <w:basedOn w:val="Fuentedeprrafopredeter"/>
    <w:link w:val="Texto4"/>
    <w:rsid w:val="00160338"/>
    <w:rPr>
      <w:rFonts w:eastAsiaTheme="minorEastAsia" w:cs="Arial"/>
      <w:lang w:val="es-ES_tradnl" w:bidi="en-US"/>
    </w:rPr>
  </w:style>
  <w:style w:type="paragraph" w:customStyle="1" w:styleId="Texto5">
    <w:name w:val="Texto 5"/>
    <w:basedOn w:val="Normal"/>
    <w:link w:val="Texto5Car"/>
    <w:qFormat/>
    <w:rsid w:val="00160338"/>
    <w:pPr>
      <w:spacing w:before="120"/>
      <w:ind w:left="2268"/>
    </w:pPr>
  </w:style>
  <w:style w:type="character" w:customStyle="1" w:styleId="Texto5Car">
    <w:name w:val="Texto 5 Car"/>
    <w:basedOn w:val="Fuentedeprrafopredeter"/>
    <w:link w:val="Texto5"/>
    <w:rsid w:val="00160338"/>
    <w:rPr>
      <w:rFonts w:ascii="Arial" w:eastAsiaTheme="minorEastAsia" w:hAnsi="Arial" w:cs="Arial"/>
      <w:sz w:val="20"/>
      <w:lang w:bidi="en-US"/>
    </w:rPr>
  </w:style>
  <w:style w:type="paragraph" w:customStyle="1" w:styleId="SSApartado">
    <w:name w:val="SS Apartado"/>
    <w:basedOn w:val="Normal"/>
    <w:link w:val="SSApartadoCar"/>
    <w:qFormat/>
    <w:rsid w:val="00160338"/>
    <w:pPr>
      <w:numPr>
        <w:numId w:val="3"/>
      </w:numPr>
      <w:spacing w:before="120"/>
    </w:pPr>
  </w:style>
  <w:style w:type="character" w:customStyle="1" w:styleId="SSApartadoCar">
    <w:name w:val="SS Apartado Car"/>
    <w:basedOn w:val="Fuentedeprrafopredeter"/>
    <w:link w:val="SSApartado"/>
    <w:rsid w:val="00160338"/>
    <w:rPr>
      <w:rFonts w:ascii="Arial" w:eastAsiaTheme="minorEastAsia" w:hAnsi="Arial" w:cs="Arial"/>
      <w:sz w:val="20"/>
      <w:lang w:bidi="en-US"/>
    </w:rPr>
  </w:style>
  <w:style w:type="paragraph" w:styleId="Prrafodelista">
    <w:name w:val="List Paragraph"/>
    <w:basedOn w:val="Normal"/>
    <w:link w:val="PrrafodelistaCar"/>
    <w:uiPriority w:val="34"/>
    <w:qFormat/>
    <w:rsid w:val="00160338"/>
    <w:pPr>
      <w:spacing w:before="0" w:after="0"/>
      <w:ind w:left="720"/>
      <w:contextualSpacing/>
    </w:pPr>
    <w:rPr>
      <w:szCs w:val="24"/>
      <w:lang w:bidi="ar-SA"/>
    </w:rPr>
  </w:style>
  <w:style w:type="paragraph" w:styleId="Encabezado">
    <w:name w:val="header"/>
    <w:basedOn w:val="Normal"/>
    <w:link w:val="EncabezadoCar"/>
    <w:uiPriority w:val="99"/>
    <w:unhideWhenUsed/>
    <w:rsid w:val="00160338"/>
    <w:pPr>
      <w:tabs>
        <w:tab w:val="center" w:pos="4320"/>
        <w:tab w:val="right" w:pos="8640"/>
      </w:tabs>
      <w:spacing w:before="0" w:after="0"/>
    </w:pPr>
    <w:rPr>
      <w:szCs w:val="24"/>
      <w:lang w:bidi="ar-SA"/>
    </w:rPr>
  </w:style>
  <w:style w:type="character" w:customStyle="1" w:styleId="EncabezadoCar">
    <w:name w:val="Encabezado Car"/>
    <w:basedOn w:val="Fuentedeprrafopredeter"/>
    <w:link w:val="Encabezado"/>
    <w:uiPriority w:val="99"/>
    <w:rsid w:val="00160338"/>
    <w:rPr>
      <w:rFonts w:ascii="Arial" w:eastAsiaTheme="minorEastAsia" w:hAnsi="Arial" w:cs="Arial"/>
      <w:sz w:val="20"/>
      <w:szCs w:val="24"/>
    </w:rPr>
  </w:style>
  <w:style w:type="paragraph" w:styleId="Piedepgina">
    <w:name w:val="footer"/>
    <w:basedOn w:val="Normal"/>
    <w:link w:val="PiedepginaCar"/>
    <w:uiPriority w:val="99"/>
    <w:unhideWhenUsed/>
    <w:rsid w:val="00160338"/>
    <w:pPr>
      <w:tabs>
        <w:tab w:val="center" w:pos="4320"/>
        <w:tab w:val="right" w:pos="8640"/>
      </w:tabs>
      <w:spacing w:before="0" w:after="0"/>
    </w:pPr>
    <w:rPr>
      <w:szCs w:val="24"/>
      <w:lang w:bidi="ar-SA"/>
    </w:rPr>
  </w:style>
  <w:style w:type="character" w:customStyle="1" w:styleId="PiedepginaCar">
    <w:name w:val="Pie de página Car"/>
    <w:basedOn w:val="Fuentedeprrafopredeter"/>
    <w:link w:val="Piedepgina"/>
    <w:uiPriority w:val="99"/>
    <w:rsid w:val="00160338"/>
    <w:rPr>
      <w:rFonts w:ascii="Arial" w:eastAsiaTheme="minorEastAsia" w:hAnsi="Arial" w:cs="Arial"/>
      <w:sz w:val="20"/>
      <w:szCs w:val="24"/>
    </w:rPr>
  </w:style>
  <w:style w:type="paragraph" w:styleId="Ttulo">
    <w:name w:val="Title"/>
    <w:basedOn w:val="Normal"/>
    <w:next w:val="Subttulo"/>
    <w:link w:val="TtuloCar"/>
    <w:uiPriority w:val="99"/>
    <w:rsid w:val="00160338"/>
    <w:pPr>
      <w:keepNext/>
      <w:keepLines/>
      <w:widowControl w:val="0"/>
      <w:autoSpaceDE w:val="0"/>
      <w:autoSpaceDN w:val="0"/>
      <w:adjustRightInd w:val="0"/>
      <w:jc w:val="center"/>
    </w:pPr>
    <w:rPr>
      <w:rFonts w:eastAsia="Times New Roman"/>
      <w:sz w:val="48"/>
      <w:szCs w:val="48"/>
      <w:lang w:bidi="ar-SA"/>
    </w:rPr>
  </w:style>
  <w:style w:type="character" w:customStyle="1" w:styleId="TtuloCar">
    <w:name w:val="Título Car"/>
    <w:basedOn w:val="Fuentedeprrafopredeter"/>
    <w:link w:val="Ttulo"/>
    <w:uiPriority w:val="99"/>
    <w:rsid w:val="00160338"/>
    <w:rPr>
      <w:rFonts w:ascii="Arial" w:eastAsia="Times New Roman" w:hAnsi="Arial" w:cs="Arial"/>
      <w:sz w:val="48"/>
      <w:szCs w:val="48"/>
    </w:rPr>
  </w:style>
  <w:style w:type="paragraph" w:styleId="Subttulo">
    <w:name w:val="Subtitle"/>
    <w:basedOn w:val="Normal"/>
    <w:next w:val="Normal"/>
    <w:link w:val="SubttuloCar"/>
    <w:uiPriority w:val="11"/>
    <w:rsid w:val="00160338"/>
    <w:pPr>
      <w:numPr>
        <w:ilvl w:val="1"/>
      </w:numPr>
      <w:spacing w:before="0" w:after="0"/>
    </w:pPr>
    <w:rPr>
      <w:rFonts w:asciiTheme="majorHAnsi" w:eastAsiaTheme="majorEastAsia" w:hAnsiTheme="majorHAnsi" w:cstheme="majorBidi"/>
      <w:i/>
      <w:iCs/>
      <w:color w:val="4F81BD" w:themeColor="accent1"/>
      <w:spacing w:val="15"/>
      <w:szCs w:val="24"/>
      <w:lang w:bidi="ar-SA"/>
    </w:rPr>
  </w:style>
  <w:style w:type="character" w:customStyle="1" w:styleId="SubttuloCar">
    <w:name w:val="Subtítulo Car"/>
    <w:basedOn w:val="Fuentedeprrafopredeter"/>
    <w:link w:val="Subttulo"/>
    <w:uiPriority w:val="11"/>
    <w:rsid w:val="00160338"/>
    <w:rPr>
      <w:rFonts w:asciiTheme="majorHAnsi" w:eastAsiaTheme="majorEastAsia" w:hAnsiTheme="majorHAnsi" w:cstheme="majorBidi"/>
      <w:i/>
      <w:iCs/>
      <w:color w:val="4F81BD" w:themeColor="accent1"/>
      <w:spacing w:val="15"/>
      <w:sz w:val="20"/>
      <w:szCs w:val="24"/>
    </w:rPr>
  </w:style>
  <w:style w:type="table" w:styleId="Tablaconcuadrcula">
    <w:name w:val="Table Grid"/>
    <w:basedOn w:val="Tablanormal"/>
    <w:uiPriority w:val="39"/>
    <w:rsid w:val="00160338"/>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nfasis11">
    <w:name w:val="Lista clara - Énfasis 11"/>
    <w:basedOn w:val="Tablanormal"/>
    <w:uiPriority w:val="61"/>
    <w:rsid w:val="00160338"/>
    <w:pPr>
      <w:spacing w:after="0" w:line="240" w:lineRule="auto"/>
    </w:pPr>
    <w:rPr>
      <w:rFonts w:eastAsiaTheme="minorEastAsia"/>
      <w:sz w:val="24"/>
      <w:szCs w:val="24"/>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TtuloTDC">
    <w:name w:val="TOC Heading"/>
    <w:basedOn w:val="Ttulo1"/>
    <w:next w:val="Normal"/>
    <w:uiPriority w:val="39"/>
    <w:unhideWhenUsed/>
    <w:rsid w:val="00160338"/>
    <w:pPr>
      <w:spacing w:line="276" w:lineRule="auto"/>
      <w:outlineLvl w:val="9"/>
    </w:pPr>
    <w:rPr>
      <w:lang w:eastAsia="es-MX"/>
    </w:rPr>
  </w:style>
  <w:style w:type="paragraph" w:styleId="TDC1">
    <w:name w:val="toc 1"/>
    <w:basedOn w:val="Normal"/>
    <w:next w:val="Normal"/>
    <w:autoRedefine/>
    <w:uiPriority w:val="39"/>
    <w:unhideWhenUsed/>
    <w:qFormat/>
    <w:rsid w:val="00D33765"/>
    <w:pPr>
      <w:tabs>
        <w:tab w:val="left" w:pos="1418"/>
        <w:tab w:val="right" w:leader="dot" w:pos="10070"/>
      </w:tabs>
      <w:spacing w:before="240"/>
      <w:jc w:val="left"/>
    </w:pPr>
    <w:rPr>
      <w:rFonts w:asciiTheme="minorHAnsi" w:hAnsiTheme="minorHAnsi"/>
      <w:b/>
      <w:noProof/>
      <w:sz w:val="24"/>
      <w:szCs w:val="26"/>
      <w:lang w:val="es-ES_tradnl"/>
    </w:rPr>
  </w:style>
  <w:style w:type="character" w:styleId="Hipervnculo">
    <w:name w:val="Hyperlink"/>
    <w:basedOn w:val="Fuentedeprrafopredeter"/>
    <w:uiPriority w:val="99"/>
    <w:unhideWhenUsed/>
    <w:rsid w:val="00160338"/>
    <w:rPr>
      <w:color w:val="0000FF" w:themeColor="hyperlink"/>
      <w:u w:val="single"/>
    </w:rPr>
  </w:style>
  <w:style w:type="paragraph" w:styleId="Textodeglobo">
    <w:name w:val="Balloon Text"/>
    <w:basedOn w:val="Normal"/>
    <w:link w:val="TextodegloboCar"/>
    <w:uiPriority w:val="99"/>
    <w:semiHidden/>
    <w:unhideWhenUsed/>
    <w:rsid w:val="00160338"/>
    <w:pPr>
      <w:spacing w:before="0" w:after="0"/>
    </w:pPr>
    <w:rPr>
      <w:rFonts w:ascii="Tahoma" w:hAnsi="Tahoma" w:cs="Tahoma"/>
      <w:sz w:val="16"/>
      <w:szCs w:val="16"/>
      <w:lang w:bidi="ar-SA"/>
    </w:rPr>
  </w:style>
  <w:style w:type="character" w:customStyle="1" w:styleId="TextodegloboCar">
    <w:name w:val="Texto de globo Car"/>
    <w:basedOn w:val="Fuentedeprrafopredeter"/>
    <w:link w:val="Textodeglobo"/>
    <w:uiPriority w:val="99"/>
    <w:semiHidden/>
    <w:rsid w:val="00160338"/>
    <w:rPr>
      <w:rFonts w:ascii="Tahoma" w:eastAsiaTheme="minorEastAsia" w:hAnsi="Tahoma" w:cs="Tahoma"/>
      <w:sz w:val="16"/>
      <w:szCs w:val="16"/>
    </w:rPr>
  </w:style>
  <w:style w:type="paragraph" w:styleId="TDC2">
    <w:name w:val="toc 2"/>
    <w:basedOn w:val="Normal"/>
    <w:next w:val="Normal"/>
    <w:autoRedefine/>
    <w:uiPriority w:val="39"/>
    <w:unhideWhenUsed/>
    <w:qFormat/>
    <w:rsid w:val="00160338"/>
    <w:pPr>
      <w:tabs>
        <w:tab w:val="clear" w:pos="851"/>
        <w:tab w:val="left" w:pos="709"/>
        <w:tab w:val="right" w:leader="dot" w:pos="10070"/>
      </w:tabs>
      <w:spacing w:before="0" w:after="100"/>
      <w:ind w:left="709" w:hanging="709"/>
    </w:pPr>
    <w:rPr>
      <w:rFonts w:asciiTheme="minorHAnsi" w:hAnsiTheme="minorHAnsi" w:cs="Times New Roman"/>
      <w:noProof/>
      <w:snapToGrid w:val="0"/>
      <w:w w:val="0"/>
      <w:lang w:eastAsia="es-MX"/>
    </w:rPr>
  </w:style>
  <w:style w:type="paragraph" w:styleId="TDC3">
    <w:name w:val="toc 3"/>
    <w:basedOn w:val="Normal"/>
    <w:next w:val="Normal"/>
    <w:autoRedefine/>
    <w:uiPriority w:val="39"/>
    <w:unhideWhenUsed/>
    <w:qFormat/>
    <w:rsid w:val="00160338"/>
    <w:pPr>
      <w:tabs>
        <w:tab w:val="left" w:pos="1276"/>
        <w:tab w:val="right" w:leader="dot" w:pos="10070"/>
      </w:tabs>
      <w:spacing w:before="0" w:after="60"/>
      <w:ind w:left="1276" w:hanging="709"/>
    </w:pPr>
    <w:rPr>
      <w:noProof/>
      <w:lang w:eastAsia="es-MX"/>
    </w:rPr>
  </w:style>
  <w:style w:type="character" w:styleId="Refdecomentario">
    <w:name w:val="annotation reference"/>
    <w:basedOn w:val="Fuentedeprrafopredeter"/>
    <w:uiPriority w:val="99"/>
    <w:rsid w:val="00160338"/>
    <w:rPr>
      <w:sz w:val="16"/>
      <w:szCs w:val="16"/>
    </w:rPr>
  </w:style>
  <w:style w:type="paragraph" w:styleId="Textocomentario">
    <w:name w:val="annotation text"/>
    <w:basedOn w:val="Normal"/>
    <w:link w:val="TextocomentarioCar"/>
    <w:uiPriority w:val="99"/>
    <w:rsid w:val="00160338"/>
    <w:pPr>
      <w:spacing w:before="0" w:after="80"/>
    </w:pPr>
    <w:rPr>
      <w:rFonts w:ascii="Franklin Gothic Book" w:eastAsiaTheme="minorHAnsi" w:hAnsi="Franklin Gothic Book"/>
      <w:color w:val="191919"/>
      <w:szCs w:val="20"/>
      <w:lang w:bidi="ar-SA"/>
    </w:rPr>
  </w:style>
  <w:style w:type="character" w:customStyle="1" w:styleId="TextocomentarioCar">
    <w:name w:val="Texto comentario Car"/>
    <w:basedOn w:val="Fuentedeprrafopredeter"/>
    <w:link w:val="Textocomentario"/>
    <w:uiPriority w:val="99"/>
    <w:rsid w:val="00160338"/>
    <w:rPr>
      <w:rFonts w:ascii="Franklin Gothic Book" w:hAnsi="Franklin Gothic Book" w:cs="Arial"/>
      <w:color w:val="191919"/>
      <w:sz w:val="20"/>
      <w:szCs w:val="20"/>
    </w:rPr>
  </w:style>
  <w:style w:type="paragraph" w:styleId="TDC4">
    <w:name w:val="toc 4"/>
    <w:basedOn w:val="Normal"/>
    <w:next w:val="Normal"/>
    <w:autoRedefine/>
    <w:uiPriority w:val="39"/>
    <w:unhideWhenUsed/>
    <w:rsid w:val="00160338"/>
    <w:pPr>
      <w:spacing w:before="0" w:after="100" w:line="276" w:lineRule="auto"/>
      <w:ind w:left="660"/>
    </w:pPr>
    <w:rPr>
      <w:sz w:val="22"/>
      <w:lang w:eastAsia="es-MX" w:bidi="ar-SA"/>
    </w:rPr>
  </w:style>
  <w:style w:type="paragraph" w:styleId="TDC5">
    <w:name w:val="toc 5"/>
    <w:basedOn w:val="Normal"/>
    <w:next w:val="Normal"/>
    <w:autoRedefine/>
    <w:uiPriority w:val="39"/>
    <w:unhideWhenUsed/>
    <w:rsid w:val="00160338"/>
    <w:pPr>
      <w:spacing w:before="0" w:after="100" w:line="276" w:lineRule="auto"/>
      <w:ind w:left="880"/>
    </w:pPr>
    <w:rPr>
      <w:sz w:val="22"/>
      <w:lang w:eastAsia="es-MX" w:bidi="ar-SA"/>
    </w:rPr>
  </w:style>
  <w:style w:type="paragraph" w:styleId="TDC6">
    <w:name w:val="toc 6"/>
    <w:basedOn w:val="Normal"/>
    <w:next w:val="Normal"/>
    <w:autoRedefine/>
    <w:uiPriority w:val="39"/>
    <w:unhideWhenUsed/>
    <w:rsid w:val="00160338"/>
    <w:pPr>
      <w:spacing w:before="0" w:after="100" w:line="276" w:lineRule="auto"/>
      <w:ind w:left="1100"/>
    </w:pPr>
    <w:rPr>
      <w:sz w:val="22"/>
      <w:lang w:eastAsia="es-MX" w:bidi="ar-SA"/>
    </w:rPr>
  </w:style>
  <w:style w:type="paragraph" w:styleId="TDC7">
    <w:name w:val="toc 7"/>
    <w:basedOn w:val="Normal"/>
    <w:next w:val="Normal"/>
    <w:autoRedefine/>
    <w:uiPriority w:val="39"/>
    <w:unhideWhenUsed/>
    <w:rsid w:val="00160338"/>
    <w:pPr>
      <w:spacing w:before="0" w:after="100" w:line="276" w:lineRule="auto"/>
      <w:ind w:left="1320"/>
    </w:pPr>
    <w:rPr>
      <w:sz w:val="22"/>
      <w:lang w:eastAsia="es-MX" w:bidi="ar-SA"/>
    </w:rPr>
  </w:style>
  <w:style w:type="paragraph" w:styleId="TDC8">
    <w:name w:val="toc 8"/>
    <w:basedOn w:val="Normal"/>
    <w:next w:val="Normal"/>
    <w:autoRedefine/>
    <w:uiPriority w:val="39"/>
    <w:unhideWhenUsed/>
    <w:rsid w:val="00160338"/>
    <w:pPr>
      <w:spacing w:before="0" w:after="100" w:line="276" w:lineRule="auto"/>
      <w:ind w:left="1540"/>
    </w:pPr>
    <w:rPr>
      <w:sz w:val="22"/>
      <w:lang w:eastAsia="es-MX" w:bidi="ar-SA"/>
    </w:rPr>
  </w:style>
  <w:style w:type="paragraph" w:styleId="TDC9">
    <w:name w:val="toc 9"/>
    <w:basedOn w:val="Normal"/>
    <w:next w:val="Normal"/>
    <w:autoRedefine/>
    <w:uiPriority w:val="39"/>
    <w:unhideWhenUsed/>
    <w:rsid w:val="00160338"/>
    <w:pPr>
      <w:spacing w:before="0" w:after="100" w:line="276" w:lineRule="auto"/>
      <w:ind w:left="1760"/>
    </w:pPr>
    <w:rPr>
      <w:sz w:val="22"/>
      <w:lang w:eastAsia="es-MX" w:bidi="ar-SA"/>
    </w:rPr>
  </w:style>
  <w:style w:type="character" w:styleId="nfasisintenso">
    <w:name w:val="Intense Emphasis"/>
    <w:basedOn w:val="Fuentedeprrafopredeter"/>
    <w:uiPriority w:val="21"/>
    <w:rsid w:val="00160338"/>
    <w:rPr>
      <w:b/>
      <w:bCs/>
      <w:i/>
      <w:iCs/>
      <w:color w:val="4F81BD" w:themeColor="accent1"/>
    </w:rPr>
  </w:style>
  <w:style w:type="paragraph" w:styleId="Asuntodelcomentario">
    <w:name w:val="annotation subject"/>
    <w:basedOn w:val="Textocomentario"/>
    <w:next w:val="Textocomentario"/>
    <w:link w:val="AsuntodelcomentarioCar"/>
    <w:uiPriority w:val="99"/>
    <w:semiHidden/>
    <w:unhideWhenUsed/>
    <w:rsid w:val="00160338"/>
    <w:pPr>
      <w:spacing w:after="0"/>
    </w:pPr>
    <w:rPr>
      <w:rFonts w:asciiTheme="minorHAnsi" w:eastAsiaTheme="minorEastAsia" w:hAnsiTheme="minorHAnsi"/>
      <w:b/>
      <w:bCs/>
      <w:color w:val="auto"/>
    </w:rPr>
  </w:style>
  <w:style w:type="character" w:customStyle="1" w:styleId="AsuntodelcomentarioCar">
    <w:name w:val="Asunto del comentario Car"/>
    <w:basedOn w:val="TextocomentarioCar"/>
    <w:link w:val="Asuntodelcomentario"/>
    <w:uiPriority w:val="99"/>
    <w:semiHidden/>
    <w:rsid w:val="00160338"/>
    <w:rPr>
      <w:rFonts w:ascii="Franklin Gothic Book" w:eastAsiaTheme="minorEastAsia" w:hAnsi="Franklin Gothic Book" w:cs="Arial"/>
      <w:b/>
      <w:bCs/>
      <w:color w:val="191919"/>
      <w:sz w:val="20"/>
      <w:szCs w:val="20"/>
    </w:rPr>
  </w:style>
  <w:style w:type="paragraph" w:customStyle="1" w:styleId="ParaText">
    <w:name w:val="ParaText"/>
    <w:basedOn w:val="Normal"/>
    <w:link w:val="ParaTextCar"/>
    <w:rsid w:val="00160338"/>
    <w:pPr>
      <w:spacing w:before="0" w:line="300" w:lineRule="auto"/>
    </w:pPr>
    <w:rPr>
      <w:rFonts w:eastAsia="Times New Roman" w:cs="Times New Roman"/>
      <w:sz w:val="22"/>
      <w:szCs w:val="20"/>
      <w:lang w:bidi="ar-SA"/>
    </w:rPr>
  </w:style>
  <w:style w:type="character" w:customStyle="1" w:styleId="ParaTextCar">
    <w:name w:val="ParaText Car"/>
    <w:basedOn w:val="Fuentedeprrafopredeter"/>
    <w:link w:val="ParaText"/>
    <w:rsid w:val="00160338"/>
    <w:rPr>
      <w:rFonts w:ascii="Arial" w:eastAsia="Times New Roman" w:hAnsi="Arial" w:cs="Times New Roman"/>
      <w:szCs w:val="20"/>
    </w:rPr>
  </w:style>
  <w:style w:type="paragraph" w:customStyle="1" w:styleId="StyleLinespacing15lines">
    <w:name w:val="Style Line spacing:  1.5 lines"/>
    <w:basedOn w:val="Normal"/>
    <w:rsid w:val="00160338"/>
    <w:pPr>
      <w:spacing w:before="60" w:after="0" w:line="360" w:lineRule="auto"/>
    </w:pPr>
    <w:rPr>
      <w:rFonts w:ascii="Times New Roman" w:eastAsia="SimSun" w:hAnsi="Times New Roman" w:cs="Times New Roman"/>
      <w:szCs w:val="20"/>
      <w:lang w:bidi="ar-SA"/>
    </w:rPr>
  </w:style>
  <w:style w:type="paragraph" w:customStyle="1" w:styleId="Texto">
    <w:name w:val="Texto"/>
    <w:basedOn w:val="Normal"/>
    <w:link w:val="TextoCar"/>
    <w:rsid w:val="00160338"/>
    <w:pPr>
      <w:spacing w:before="0" w:after="101" w:line="216" w:lineRule="exact"/>
      <w:ind w:firstLine="288"/>
    </w:pPr>
    <w:rPr>
      <w:rFonts w:eastAsia="Times New Roman"/>
      <w:sz w:val="18"/>
      <w:szCs w:val="20"/>
      <w:lang w:val="es-ES" w:eastAsia="es-ES" w:bidi="ar-SA"/>
    </w:rPr>
  </w:style>
  <w:style w:type="character" w:customStyle="1" w:styleId="TextoCar">
    <w:name w:val="Texto Car"/>
    <w:link w:val="Texto"/>
    <w:locked/>
    <w:rsid w:val="00160338"/>
    <w:rPr>
      <w:rFonts w:ascii="Arial" w:eastAsia="Times New Roman" w:hAnsi="Arial" w:cs="Arial"/>
      <w:sz w:val="18"/>
      <w:szCs w:val="20"/>
      <w:lang w:val="es-ES" w:eastAsia="es-ES"/>
    </w:rPr>
  </w:style>
  <w:style w:type="character" w:styleId="Hipervnculovisitado">
    <w:name w:val="FollowedHyperlink"/>
    <w:basedOn w:val="Fuentedeprrafopredeter"/>
    <w:uiPriority w:val="99"/>
    <w:semiHidden/>
    <w:unhideWhenUsed/>
    <w:rsid w:val="00160338"/>
    <w:rPr>
      <w:color w:val="800080" w:themeColor="followedHyperlink"/>
      <w:u w:val="single"/>
    </w:rPr>
  </w:style>
  <w:style w:type="table" w:customStyle="1" w:styleId="Listaclara-nfasis12">
    <w:name w:val="Lista clara - Énfasis 12"/>
    <w:basedOn w:val="Tablanormal"/>
    <w:uiPriority w:val="61"/>
    <w:rsid w:val="00160338"/>
    <w:pPr>
      <w:spacing w:after="0" w:line="240" w:lineRule="auto"/>
    </w:pPr>
    <w:rPr>
      <w:rFonts w:eastAsiaTheme="minorEastAsia"/>
      <w:sz w:val="24"/>
      <w:szCs w:val="24"/>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NormalWeb">
    <w:name w:val="Normal (Web)"/>
    <w:basedOn w:val="Normal"/>
    <w:uiPriority w:val="99"/>
    <w:unhideWhenUsed/>
    <w:rsid w:val="00160338"/>
    <w:pPr>
      <w:spacing w:before="100" w:beforeAutospacing="1" w:after="100" w:afterAutospacing="1"/>
    </w:pPr>
    <w:rPr>
      <w:rFonts w:ascii="Times New Roman" w:eastAsia="Times New Roman" w:hAnsi="Times New Roman" w:cs="Times New Roman"/>
      <w:szCs w:val="24"/>
      <w:lang w:eastAsia="es-MX" w:bidi="ar-SA"/>
    </w:rPr>
  </w:style>
  <w:style w:type="paragraph" w:styleId="Revisin">
    <w:name w:val="Revision"/>
    <w:hidden/>
    <w:uiPriority w:val="99"/>
    <w:semiHidden/>
    <w:rsid w:val="00160338"/>
    <w:pPr>
      <w:spacing w:after="0" w:line="240" w:lineRule="auto"/>
    </w:pPr>
    <w:rPr>
      <w:rFonts w:eastAsiaTheme="minorEastAsia"/>
      <w:sz w:val="24"/>
      <w:szCs w:val="24"/>
    </w:rPr>
  </w:style>
  <w:style w:type="paragraph" w:customStyle="1" w:styleId="Nombredeldocumento">
    <w:name w:val="Nombre del documento"/>
    <w:basedOn w:val="Texto1"/>
    <w:link w:val="NombredeldocumentoCar"/>
    <w:qFormat/>
    <w:rsid w:val="00160338"/>
    <w:pPr>
      <w:spacing w:before="480" w:after="480"/>
      <w:jc w:val="center"/>
    </w:pPr>
    <w:rPr>
      <w:b/>
      <w:sz w:val="36"/>
      <w:szCs w:val="24"/>
    </w:rPr>
  </w:style>
  <w:style w:type="character" w:customStyle="1" w:styleId="NombredeldocumentoCar">
    <w:name w:val="Nombre del documento Car"/>
    <w:basedOn w:val="Texto1Car"/>
    <w:link w:val="Nombredeldocumento"/>
    <w:rsid w:val="00160338"/>
    <w:rPr>
      <w:rFonts w:eastAsia="Calibri" w:cs="Arial"/>
      <w:b/>
      <w:sz w:val="36"/>
      <w:szCs w:val="24"/>
      <w:lang w:val="en-US" w:bidi="en-US"/>
    </w:rPr>
  </w:style>
  <w:style w:type="paragraph" w:customStyle="1" w:styleId="Indice">
    <w:name w:val="Indice"/>
    <w:basedOn w:val="Nombredeldocumento"/>
    <w:link w:val="IndiceCar"/>
    <w:qFormat/>
    <w:rsid w:val="00160338"/>
    <w:pPr>
      <w:spacing w:before="240"/>
    </w:pPr>
    <w:rPr>
      <w:b w:val="0"/>
    </w:rPr>
  </w:style>
  <w:style w:type="character" w:customStyle="1" w:styleId="IndiceCar">
    <w:name w:val="Indice Car"/>
    <w:basedOn w:val="NombredeldocumentoCar"/>
    <w:link w:val="Indice"/>
    <w:rsid w:val="00160338"/>
    <w:rPr>
      <w:rFonts w:eastAsia="Calibri" w:cs="Arial"/>
      <w:b w:val="0"/>
      <w:sz w:val="36"/>
      <w:szCs w:val="24"/>
      <w:lang w:val="en-US" w:bidi="en-US"/>
    </w:rPr>
  </w:style>
  <w:style w:type="paragraph" w:customStyle="1" w:styleId="SubApartado0">
    <w:name w:val="SubApartado"/>
    <w:basedOn w:val="Texto5"/>
    <w:link w:val="SubApartadoCar"/>
    <w:qFormat/>
    <w:rsid w:val="00160338"/>
    <w:pPr>
      <w:numPr>
        <w:ilvl w:val="1"/>
        <w:numId w:val="2"/>
      </w:numPr>
    </w:pPr>
  </w:style>
  <w:style w:type="character" w:customStyle="1" w:styleId="SubApartadoCar">
    <w:name w:val="SubApartado Car"/>
    <w:basedOn w:val="Texto5Car"/>
    <w:link w:val="SubApartado0"/>
    <w:rsid w:val="00160338"/>
    <w:rPr>
      <w:rFonts w:ascii="Arial" w:eastAsiaTheme="minorEastAsia" w:hAnsi="Arial" w:cs="Arial"/>
      <w:sz w:val="20"/>
      <w:lang w:bidi="en-US"/>
    </w:rPr>
  </w:style>
  <w:style w:type="paragraph" w:customStyle="1" w:styleId="SSSubapartado">
    <w:name w:val="SS Subapartado"/>
    <w:basedOn w:val="SubApartado0"/>
    <w:link w:val="SSSubapartadoCar"/>
    <w:qFormat/>
    <w:rsid w:val="00160338"/>
    <w:pPr>
      <w:numPr>
        <w:numId w:val="3"/>
      </w:numPr>
    </w:pPr>
  </w:style>
  <w:style w:type="character" w:customStyle="1" w:styleId="SSSubapartadoCar">
    <w:name w:val="SS Subapartado Car"/>
    <w:basedOn w:val="SubApartadoCar"/>
    <w:link w:val="SSSubapartado"/>
    <w:rsid w:val="00160338"/>
    <w:rPr>
      <w:rFonts w:ascii="Arial" w:eastAsiaTheme="minorEastAsia" w:hAnsi="Arial" w:cs="Arial"/>
      <w:sz w:val="20"/>
      <w:lang w:bidi="en-US"/>
    </w:rPr>
  </w:style>
  <w:style w:type="paragraph" w:styleId="Textonotapie">
    <w:name w:val="footnote text"/>
    <w:aliases w:val="fn,Footnote Text Char1,Footnote Text Char Char,Fo"/>
    <w:basedOn w:val="Normal"/>
    <w:link w:val="TextonotapieCar"/>
    <w:uiPriority w:val="99"/>
    <w:unhideWhenUsed/>
    <w:rsid w:val="00160338"/>
    <w:pPr>
      <w:spacing w:before="0" w:after="0"/>
    </w:pPr>
    <w:rPr>
      <w:szCs w:val="20"/>
    </w:rPr>
  </w:style>
  <w:style w:type="character" w:customStyle="1" w:styleId="TextonotapieCar">
    <w:name w:val="Texto nota pie Car"/>
    <w:aliases w:val="fn Car,Footnote Text Char1 Car,Footnote Text Char Char Car,Fo Car"/>
    <w:basedOn w:val="Fuentedeprrafopredeter"/>
    <w:link w:val="Textonotapie"/>
    <w:uiPriority w:val="99"/>
    <w:rsid w:val="00160338"/>
    <w:rPr>
      <w:rFonts w:ascii="Arial" w:eastAsiaTheme="minorEastAsia" w:hAnsi="Arial" w:cs="Arial"/>
      <w:sz w:val="20"/>
      <w:szCs w:val="20"/>
      <w:lang w:bidi="en-US"/>
    </w:rPr>
  </w:style>
  <w:style w:type="character" w:styleId="Refdenotaalpie">
    <w:name w:val="footnote reference"/>
    <w:aliases w:val="o"/>
    <w:basedOn w:val="Fuentedeprrafopredeter"/>
    <w:uiPriority w:val="99"/>
    <w:unhideWhenUsed/>
    <w:rsid w:val="00160338"/>
    <w:rPr>
      <w:vertAlign w:val="superscript"/>
    </w:rPr>
  </w:style>
  <w:style w:type="paragraph" w:customStyle="1" w:styleId="Texto6">
    <w:name w:val="Texto 6"/>
    <w:basedOn w:val="Texto5"/>
    <w:link w:val="Texto6Car"/>
    <w:qFormat/>
    <w:rsid w:val="00160338"/>
    <w:pPr>
      <w:ind w:left="2835"/>
    </w:pPr>
    <w:rPr>
      <w:rFonts w:eastAsiaTheme="majorEastAsia"/>
    </w:rPr>
  </w:style>
  <w:style w:type="character" w:customStyle="1" w:styleId="Texto6Car">
    <w:name w:val="Texto 6 Car"/>
    <w:basedOn w:val="Texto5Car"/>
    <w:link w:val="Texto6"/>
    <w:rsid w:val="00160338"/>
    <w:rPr>
      <w:rFonts w:ascii="Arial" w:eastAsiaTheme="majorEastAsia" w:hAnsi="Arial" w:cs="Arial"/>
      <w:sz w:val="20"/>
      <w:lang w:bidi="en-US"/>
    </w:rPr>
  </w:style>
  <w:style w:type="paragraph" w:customStyle="1" w:styleId="Contenido">
    <w:name w:val="Contenido"/>
    <w:basedOn w:val="Normal"/>
    <w:link w:val="ContenidoCar"/>
    <w:qFormat/>
    <w:rsid w:val="00160338"/>
    <w:pPr>
      <w:jc w:val="center"/>
    </w:pPr>
    <w:rPr>
      <w:b/>
    </w:rPr>
  </w:style>
  <w:style w:type="character" w:customStyle="1" w:styleId="ContenidoCar">
    <w:name w:val="Contenido Car"/>
    <w:basedOn w:val="Fuentedeprrafopredeter"/>
    <w:link w:val="Contenido"/>
    <w:rsid w:val="00160338"/>
    <w:rPr>
      <w:rFonts w:ascii="Arial" w:eastAsiaTheme="minorEastAsia" w:hAnsi="Arial" w:cs="Arial"/>
      <w:b/>
      <w:sz w:val="20"/>
      <w:lang w:bidi="en-US"/>
    </w:rPr>
  </w:style>
  <w:style w:type="paragraph" w:customStyle="1" w:styleId="TITULODELDOCUMENTO">
    <w:name w:val="TITULO DEL DOCUMENTO"/>
    <w:basedOn w:val="Nombredeldocumento"/>
    <w:link w:val="TITULODELDOCUMENTOCar"/>
    <w:qFormat/>
    <w:rsid w:val="00160338"/>
    <w:pPr>
      <w:jc w:val="both"/>
    </w:pPr>
    <w:rPr>
      <w:sz w:val="20"/>
    </w:rPr>
  </w:style>
  <w:style w:type="character" w:customStyle="1" w:styleId="TITULODELDOCUMENTOCar">
    <w:name w:val="TITULO DEL DOCUMENTO Car"/>
    <w:basedOn w:val="NombredeldocumentoCar"/>
    <w:link w:val="TITULODELDOCUMENTO"/>
    <w:rsid w:val="00160338"/>
    <w:rPr>
      <w:rFonts w:eastAsia="Calibri" w:cs="Arial"/>
      <w:b/>
      <w:sz w:val="20"/>
      <w:szCs w:val="24"/>
      <w:lang w:val="en-US" w:bidi="en-US"/>
    </w:rPr>
  </w:style>
  <w:style w:type="paragraph" w:customStyle="1" w:styleId="Heather">
    <w:name w:val="Heather"/>
    <w:basedOn w:val="Encabezado"/>
    <w:link w:val="HeatherCar"/>
    <w:qFormat/>
    <w:rsid w:val="00160338"/>
    <w:pPr>
      <w:jc w:val="right"/>
    </w:pPr>
    <w:rPr>
      <w:rFonts w:ascii="Verdana" w:hAnsi="Verdana"/>
      <w:b/>
      <w:i/>
      <w:color w:val="595959" w:themeColor="text1" w:themeTint="A6"/>
      <w:sz w:val="18"/>
      <w:szCs w:val="18"/>
    </w:rPr>
  </w:style>
  <w:style w:type="character" w:customStyle="1" w:styleId="HeatherCar">
    <w:name w:val="Heather Car"/>
    <w:basedOn w:val="EncabezadoCar"/>
    <w:link w:val="Heather"/>
    <w:rsid w:val="00160338"/>
    <w:rPr>
      <w:rFonts w:ascii="Verdana" w:eastAsiaTheme="minorEastAsia" w:hAnsi="Verdana" w:cs="Arial"/>
      <w:b/>
      <w:i/>
      <w:color w:val="595959" w:themeColor="text1" w:themeTint="A6"/>
      <w:sz w:val="18"/>
      <w:szCs w:val="18"/>
    </w:rPr>
  </w:style>
  <w:style w:type="table" w:customStyle="1" w:styleId="GridTable41">
    <w:name w:val="Grid Table 41"/>
    <w:basedOn w:val="Tablanormal"/>
    <w:uiPriority w:val="49"/>
    <w:rsid w:val="00160338"/>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Subapartado">
    <w:name w:val="Subapartado"/>
    <w:basedOn w:val="Normal"/>
    <w:qFormat/>
    <w:rsid w:val="00160338"/>
    <w:pPr>
      <w:numPr>
        <w:ilvl w:val="6"/>
        <w:numId w:val="4"/>
      </w:numPr>
      <w:spacing w:before="0" w:after="200"/>
    </w:pPr>
  </w:style>
  <w:style w:type="character" w:customStyle="1" w:styleId="PrrafodelistaCar">
    <w:name w:val="Párrafo de lista Car"/>
    <w:basedOn w:val="Fuentedeprrafopredeter"/>
    <w:link w:val="Prrafodelista"/>
    <w:uiPriority w:val="34"/>
    <w:rsid w:val="00160338"/>
    <w:rPr>
      <w:rFonts w:ascii="Arial" w:eastAsiaTheme="minorEastAsia" w:hAnsi="Arial" w:cs="Arial"/>
      <w:sz w:val="20"/>
      <w:szCs w:val="24"/>
    </w:rPr>
  </w:style>
  <w:style w:type="paragraph" w:customStyle="1" w:styleId="1">
    <w:name w:val="1"/>
    <w:aliases w:val="a,i Seq"/>
    <w:basedOn w:val="Normal"/>
    <w:rsid w:val="00160338"/>
    <w:pPr>
      <w:numPr>
        <w:numId w:val="5"/>
      </w:numPr>
      <w:tabs>
        <w:tab w:val="left" w:pos="1800"/>
        <w:tab w:val="left" w:pos="2160"/>
        <w:tab w:val="left" w:pos="2520"/>
      </w:tabs>
      <w:spacing w:before="0" w:line="300" w:lineRule="auto"/>
    </w:pPr>
    <w:rPr>
      <w:rFonts w:eastAsia="Times New Roman" w:cs="Times New Roman"/>
      <w:sz w:val="22"/>
      <w:szCs w:val="20"/>
      <w:lang w:bidi="ar-SA"/>
    </w:rPr>
  </w:style>
  <w:style w:type="table" w:customStyle="1" w:styleId="GridTable411">
    <w:name w:val="Grid Table 411"/>
    <w:basedOn w:val="Tablanormal"/>
    <w:uiPriority w:val="49"/>
    <w:rsid w:val="00160338"/>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ApartadoS">
    <w:name w:val="Apartado S"/>
    <w:basedOn w:val="Normal"/>
    <w:rsid w:val="00160338"/>
    <w:pPr>
      <w:spacing w:before="120"/>
      <w:ind w:left="2268" w:hanging="567"/>
    </w:pPr>
    <w:rPr>
      <w:rFonts w:eastAsia="Times New Roman"/>
      <w:szCs w:val="20"/>
      <w:lang w:eastAsia="es-MX" w:bidi="ar-SA"/>
    </w:rPr>
  </w:style>
  <w:style w:type="table" w:customStyle="1" w:styleId="ListTable31">
    <w:name w:val="List Table 31"/>
    <w:basedOn w:val="Tablanormal"/>
    <w:uiPriority w:val="48"/>
    <w:rsid w:val="00160338"/>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BASE">
    <w:name w:val="BASE"/>
    <w:basedOn w:val="Normal"/>
    <w:autoRedefine/>
    <w:qFormat/>
    <w:rsid w:val="00160338"/>
    <w:pPr>
      <w:keepNext/>
      <w:pBdr>
        <w:bottom w:val="single" w:sz="12" w:space="1" w:color="auto"/>
      </w:pBdr>
      <w:spacing w:before="1200" w:after="480" w:line="276" w:lineRule="auto"/>
      <w:ind w:firstLine="567"/>
      <w:jc w:val="center"/>
    </w:pPr>
    <w:rPr>
      <w:b/>
      <w:sz w:val="28"/>
      <w:szCs w:val="24"/>
    </w:rPr>
  </w:style>
  <w:style w:type="paragraph" w:customStyle="1" w:styleId="Base1">
    <w:name w:val="Base.1"/>
    <w:basedOn w:val="Normal"/>
    <w:qFormat/>
    <w:rsid w:val="00160338"/>
    <w:pPr>
      <w:keepNext/>
      <w:tabs>
        <w:tab w:val="num" w:pos="1135"/>
      </w:tabs>
      <w:spacing w:before="600" w:after="360"/>
      <w:ind w:left="851" w:hanging="851"/>
      <w:jc w:val="left"/>
    </w:pPr>
    <w:rPr>
      <w:b/>
      <w:sz w:val="24"/>
    </w:rPr>
  </w:style>
  <w:style w:type="paragraph" w:customStyle="1" w:styleId="Base11">
    <w:name w:val="Base.1.1"/>
    <w:basedOn w:val="Normal"/>
    <w:link w:val="Base11Car"/>
    <w:qFormat/>
    <w:rsid w:val="00160338"/>
    <w:pPr>
      <w:tabs>
        <w:tab w:val="num" w:pos="851"/>
      </w:tabs>
      <w:ind w:left="851" w:hanging="851"/>
    </w:pPr>
  </w:style>
  <w:style w:type="character" w:customStyle="1" w:styleId="Base11Car">
    <w:name w:val="Base.1.1 Car"/>
    <w:basedOn w:val="Fuentedeprrafopredeter"/>
    <w:link w:val="Base11"/>
    <w:rsid w:val="00160338"/>
    <w:rPr>
      <w:rFonts w:ascii="Arial" w:eastAsiaTheme="minorEastAsia" w:hAnsi="Arial" w:cs="Arial"/>
      <w:sz w:val="20"/>
      <w:lang w:bidi="en-US"/>
    </w:rPr>
  </w:style>
  <w:style w:type="paragraph" w:customStyle="1" w:styleId="NumeralSS">
    <w:name w:val="Numeral  SS"/>
    <w:basedOn w:val="Normal"/>
    <w:qFormat/>
    <w:rsid w:val="00160338"/>
    <w:pPr>
      <w:ind w:left="1135" w:hanging="567"/>
    </w:pPr>
  </w:style>
  <w:style w:type="paragraph" w:customStyle="1" w:styleId="IncisoSS">
    <w:name w:val="Inciso SS"/>
    <w:basedOn w:val="Normal"/>
    <w:qFormat/>
    <w:rsid w:val="00160338"/>
    <w:pPr>
      <w:ind w:left="1701" w:hanging="567"/>
    </w:pPr>
  </w:style>
  <w:style w:type="paragraph" w:customStyle="1" w:styleId="Ejemplo">
    <w:name w:val="Ejemplo"/>
    <w:basedOn w:val="Texto1"/>
    <w:qFormat/>
    <w:rsid w:val="00160338"/>
    <w:pPr>
      <w:ind w:left="283" w:right="333"/>
      <w:jc w:val="center"/>
    </w:pPr>
    <w:rPr>
      <w:b/>
      <w:sz w:val="20"/>
      <w:szCs w:val="24"/>
      <w:lang w:val="es-MX"/>
    </w:rPr>
  </w:style>
  <w:style w:type="paragraph" w:customStyle="1" w:styleId="EjeNumer1er">
    <w:name w:val="Eje Numer1er"/>
    <w:basedOn w:val="Texto1"/>
    <w:qFormat/>
    <w:rsid w:val="00160338"/>
    <w:pPr>
      <w:numPr>
        <w:numId w:val="22"/>
      </w:numPr>
      <w:ind w:right="333"/>
    </w:pPr>
    <w:rPr>
      <w:sz w:val="20"/>
      <w:szCs w:val="24"/>
      <w:lang w:val="es-MX"/>
    </w:rPr>
  </w:style>
  <w:style w:type="paragraph" w:customStyle="1" w:styleId="Anexoencontenido">
    <w:name w:val="Anexo en contenido"/>
    <w:basedOn w:val="Normal"/>
    <w:link w:val="AnexoencontenidoCar"/>
    <w:qFormat/>
    <w:rsid w:val="00160338"/>
    <w:pPr>
      <w:tabs>
        <w:tab w:val="left" w:pos="1985"/>
      </w:tabs>
      <w:ind w:left="1985" w:hanging="1985"/>
    </w:pPr>
    <w:rPr>
      <w:rFonts w:asciiTheme="minorHAnsi" w:hAnsiTheme="minorHAnsi"/>
      <w:b/>
      <w:sz w:val="22"/>
      <w:lang w:val="es-ES_tradnl"/>
    </w:rPr>
  </w:style>
  <w:style w:type="character" w:customStyle="1" w:styleId="AnexoencontenidoCar">
    <w:name w:val="Anexo en contenido Car"/>
    <w:basedOn w:val="Fuentedeprrafopredeter"/>
    <w:link w:val="Anexoencontenido"/>
    <w:rsid w:val="00160338"/>
    <w:rPr>
      <w:rFonts w:eastAsiaTheme="minorEastAsia" w:cs="Arial"/>
      <w:b/>
      <w:lang w:val="es-ES_tradnl" w:bidi="en-US"/>
    </w:rPr>
  </w:style>
  <w:style w:type="paragraph" w:customStyle="1" w:styleId="Contenidodeanexo">
    <w:name w:val="Contenido de anexo"/>
    <w:basedOn w:val="Anexoencontenido"/>
    <w:link w:val="ContenidodeanexoCar"/>
    <w:qFormat/>
    <w:rsid w:val="00160338"/>
    <w:pPr>
      <w:tabs>
        <w:tab w:val="clear" w:pos="851"/>
        <w:tab w:val="clear" w:pos="1985"/>
        <w:tab w:val="left" w:pos="709"/>
      </w:tabs>
      <w:spacing w:before="120"/>
      <w:ind w:left="709" w:hanging="709"/>
    </w:pPr>
    <w:rPr>
      <w:b w:val="0"/>
      <w:sz w:val="20"/>
      <w:szCs w:val="20"/>
    </w:rPr>
  </w:style>
  <w:style w:type="character" w:customStyle="1" w:styleId="ContenidodeanexoCar">
    <w:name w:val="Contenido de anexo Car"/>
    <w:basedOn w:val="AnexoencontenidoCar"/>
    <w:link w:val="Contenidodeanexo"/>
    <w:rsid w:val="00160338"/>
    <w:rPr>
      <w:rFonts w:eastAsiaTheme="minorEastAsia" w:cs="Arial"/>
      <w:b w:val="0"/>
      <w:sz w:val="20"/>
      <w:szCs w:val="20"/>
      <w:lang w:val="es-ES_tradnl" w:bidi="en-US"/>
    </w:rPr>
  </w:style>
  <w:style w:type="paragraph" w:styleId="Sinespaciado">
    <w:name w:val="No Spacing"/>
    <w:uiPriority w:val="1"/>
    <w:qFormat/>
    <w:rsid w:val="00160338"/>
    <w:pPr>
      <w:spacing w:after="0" w:line="240" w:lineRule="auto"/>
    </w:pPr>
  </w:style>
  <w:style w:type="numbering" w:customStyle="1" w:styleId="Estilo2">
    <w:name w:val="Estilo2"/>
    <w:uiPriority w:val="99"/>
    <w:rsid w:val="00160338"/>
    <w:pPr>
      <w:numPr>
        <w:numId w:val="17"/>
      </w:numPr>
    </w:pPr>
  </w:style>
  <w:style w:type="character" w:styleId="Textodelmarcadordeposicin">
    <w:name w:val="Placeholder Text"/>
    <w:basedOn w:val="Fuentedeprrafopredeter"/>
    <w:uiPriority w:val="99"/>
    <w:semiHidden/>
    <w:rsid w:val="00160338"/>
    <w:rPr>
      <w:color w:val="808080"/>
    </w:rPr>
  </w:style>
  <w:style w:type="paragraph" w:customStyle="1" w:styleId="Captulo1">
    <w:name w:val="Capítulo 1."/>
    <w:basedOn w:val="Normal"/>
    <w:qFormat/>
    <w:rsid w:val="00160338"/>
    <w:pPr>
      <w:keepNext/>
      <w:pBdr>
        <w:bottom w:val="single" w:sz="12" w:space="1" w:color="17365D" w:themeColor="text2" w:themeShade="BF"/>
      </w:pBdr>
      <w:tabs>
        <w:tab w:val="clear" w:pos="851"/>
      </w:tabs>
      <w:spacing w:before="240" w:after="720"/>
      <w:jc w:val="center"/>
    </w:pPr>
    <w:rPr>
      <w:rFonts w:asciiTheme="minorHAnsi" w:hAnsiTheme="minorHAnsi"/>
      <w:b/>
      <w:color w:val="17365D" w:themeColor="text2" w:themeShade="BF"/>
      <w:sz w:val="44"/>
      <w:szCs w:val="24"/>
      <w:lang w:val="es-ES_tradnl"/>
    </w:rPr>
  </w:style>
  <w:style w:type="paragraph" w:customStyle="1" w:styleId="Seccin1">
    <w:name w:val="Sección.1"/>
    <w:basedOn w:val="Normal"/>
    <w:qFormat/>
    <w:rsid w:val="00160338"/>
    <w:pPr>
      <w:keepNext/>
      <w:tabs>
        <w:tab w:val="clear" w:pos="851"/>
        <w:tab w:val="num" w:pos="1135"/>
      </w:tabs>
      <w:spacing w:before="480" w:after="360"/>
      <w:ind w:left="851" w:hanging="851"/>
      <w:jc w:val="left"/>
    </w:pPr>
    <w:rPr>
      <w:rFonts w:asciiTheme="minorHAnsi" w:hAnsiTheme="minorHAnsi"/>
      <w:b/>
      <w:color w:val="17365D" w:themeColor="text2" w:themeShade="BF"/>
      <w:sz w:val="36"/>
      <w:lang w:val="es-ES_tradnl"/>
    </w:rPr>
  </w:style>
  <w:style w:type="paragraph" w:customStyle="1" w:styleId="Numeral11">
    <w:name w:val="Numeral.1.1"/>
    <w:basedOn w:val="Normal"/>
    <w:link w:val="Numeral11Car"/>
    <w:qFormat/>
    <w:rsid w:val="00160338"/>
    <w:pPr>
      <w:tabs>
        <w:tab w:val="num" w:pos="851"/>
      </w:tabs>
      <w:spacing w:before="240"/>
      <w:ind w:left="851" w:hanging="851"/>
    </w:pPr>
    <w:rPr>
      <w:rFonts w:asciiTheme="minorHAnsi" w:eastAsiaTheme="majorEastAsia" w:hAnsiTheme="minorHAnsi" w:cstheme="majorBidi"/>
      <w:bCs/>
      <w:sz w:val="24"/>
      <w:lang w:val="es-ES_tradnl"/>
    </w:rPr>
  </w:style>
  <w:style w:type="character" w:customStyle="1" w:styleId="Numeral11Car">
    <w:name w:val="Numeral.1.1 Car"/>
    <w:basedOn w:val="Fuentedeprrafopredeter"/>
    <w:link w:val="Numeral11"/>
    <w:rsid w:val="00160338"/>
    <w:rPr>
      <w:rFonts w:eastAsiaTheme="majorEastAsia" w:cstheme="majorBidi"/>
      <w:bCs/>
      <w:sz w:val="24"/>
      <w:lang w:val="es-ES_tradnl" w:bidi="en-US"/>
    </w:rPr>
  </w:style>
  <w:style w:type="paragraph" w:customStyle="1" w:styleId="EJETexto1">
    <w:name w:val="EJE Texto 1"/>
    <w:basedOn w:val="Texto2"/>
    <w:link w:val="EJETexto1Car"/>
    <w:qFormat/>
    <w:rsid w:val="008B7341"/>
    <w:pPr>
      <w:spacing w:before="120" w:after="60"/>
      <w:ind w:left="142" w:right="191"/>
    </w:pPr>
    <w:rPr>
      <w:rFonts w:ascii="Arial" w:eastAsiaTheme="majorEastAsia" w:hAnsi="Arial"/>
      <w:sz w:val="20"/>
      <w:szCs w:val="24"/>
      <w:lang w:val="es-ES"/>
    </w:rPr>
  </w:style>
  <w:style w:type="paragraph" w:customStyle="1" w:styleId="EJETexto2">
    <w:name w:val="EJE Texto 2"/>
    <w:basedOn w:val="EJETexto1"/>
    <w:link w:val="EJETexto2Car"/>
    <w:qFormat/>
    <w:rsid w:val="008B7341"/>
    <w:pPr>
      <w:ind w:left="567"/>
    </w:pPr>
  </w:style>
  <w:style w:type="character" w:customStyle="1" w:styleId="EJETexto1Car">
    <w:name w:val="EJE Texto 1 Car"/>
    <w:basedOn w:val="Fuentedeprrafopredeter"/>
    <w:link w:val="EJETexto1"/>
    <w:rsid w:val="00160338"/>
    <w:rPr>
      <w:rFonts w:ascii="Arial" w:eastAsiaTheme="majorEastAsia" w:hAnsi="Arial" w:cs="Arial"/>
      <w:sz w:val="20"/>
      <w:szCs w:val="24"/>
      <w:lang w:val="es-ES" w:bidi="en-US"/>
    </w:rPr>
  </w:style>
  <w:style w:type="character" w:customStyle="1" w:styleId="EJETexto2Car">
    <w:name w:val="EJE Texto 2 Car"/>
    <w:basedOn w:val="EJETexto1Car"/>
    <w:link w:val="EJETexto2"/>
    <w:rsid w:val="00160338"/>
    <w:rPr>
      <w:rFonts w:ascii="Arial" w:eastAsiaTheme="majorEastAsia" w:hAnsi="Arial" w:cs="Arial"/>
      <w:sz w:val="20"/>
      <w:szCs w:val="24"/>
      <w:lang w:val="es-ES" w:bidi="en-US"/>
    </w:rPr>
  </w:style>
  <w:style w:type="paragraph" w:customStyle="1" w:styleId="EJETitulo">
    <w:name w:val="EJE Titulo"/>
    <w:basedOn w:val="EJETexto1"/>
    <w:link w:val="EJETituloCar"/>
    <w:qFormat/>
    <w:rsid w:val="008B7341"/>
    <w:pPr>
      <w:spacing w:before="240" w:after="120"/>
      <w:ind w:right="193"/>
      <w:jc w:val="center"/>
    </w:pPr>
    <w:rPr>
      <w:b/>
    </w:rPr>
  </w:style>
  <w:style w:type="character" w:customStyle="1" w:styleId="EJETituloCar">
    <w:name w:val="EJE Titulo Car"/>
    <w:basedOn w:val="EJETexto1Car"/>
    <w:link w:val="EJETitulo"/>
    <w:rsid w:val="00160338"/>
    <w:rPr>
      <w:rFonts w:ascii="Arial" w:eastAsiaTheme="majorEastAsia" w:hAnsi="Arial" w:cs="Arial"/>
      <w:b/>
      <w:sz w:val="20"/>
      <w:szCs w:val="24"/>
      <w:lang w:val="es-ES" w:bidi="en-US"/>
    </w:rPr>
  </w:style>
  <w:style w:type="paragraph" w:customStyle="1" w:styleId="Default">
    <w:name w:val="Default"/>
    <w:rsid w:val="00160338"/>
    <w:pPr>
      <w:autoSpaceDE w:val="0"/>
      <w:autoSpaceDN w:val="0"/>
      <w:adjustRightInd w:val="0"/>
      <w:spacing w:after="0" w:line="240" w:lineRule="auto"/>
    </w:pPr>
    <w:rPr>
      <w:rFonts w:ascii="Calibri" w:hAnsi="Calibri" w:cs="Calibri"/>
      <w:color w:val="000000"/>
      <w:sz w:val="24"/>
      <w:szCs w:val="24"/>
    </w:rPr>
  </w:style>
  <w:style w:type="table" w:customStyle="1" w:styleId="Tablaconcuadrcula1">
    <w:name w:val="Tabla con cuadrícula1"/>
    <w:basedOn w:val="Tablanormal"/>
    <w:next w:val="Tablaconcuadrcula"/>
    <w:uiPriority w:val="39"/>
    <w:rsid w:val="00F01499"/>
    <w:pPr>
      <w:spacing w:after="0" w:line="240" w:lineRule="auto"/>
    </w:pPr>
    <w:rPr>
      <w:rFonts w:eastAsia="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405B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444657">
      <w:bodyDiv w:val="1"/>
      <w:marLeft w:val="0"/>
      <w:marRight w:val="0"/>
      <w:marTop w:val="0"/>
      <w:marBottom w:val="0"/>
      <w:divBdr>
        <w:top w:val="none" w:sz="0" w:space="0" w:color="auto"/>
        <w:left w:val="none" w:sz="0" w:space="0" w:color="auto"/>
        <w:bottom w:val="none" w:sz="0" w:space="0" w:color="auto"/>
        <w:right w:val="none" w:sz="0" w:space="0" w:color="auto"/>
      </w:divBdr>
    </w:div>
    <w:div w:id="79717288">
      <w:bodyDiv w:val="1"/>
      <w:marLeft w:val="0"/>
      <w:marRight w:val="0"/>
      <w:marTop w:val="0"/>
      <w:marBottom w:val="0"/>
      <w:divBdr>
        <w:top w:val="none" w:sz="0" w:space="0" w:color="auto"/>
        <w:left w:val="none" w:sz="0" w:space="0" w:color="auto"/>
        <w:bottom w:val="none" w:sz="0" w:space="0" w:color="auto"/>
        <w:right w:val="none" w:sz="0" w:space="0" w:color="auto"/>
      </w:divBdr>
    </w:div>
    <w:div w:id="151798586">
      <w:bodyDiv w:val="1"/>
      <w:marLeft w:val="0"/>
      <w:marRight w:val="0"/>
      <w:marTop w:val="0"/>
      <w:marBottom w:val="0"/>
      <w:divBdr>
        <w:top w:val="none" w:sz="0" w:space="0" w:color="auto"/>
        <w:left w:val="none" w:sz="0" w:space="0" w:color="auto"/>
        <w:bottom w:val="none" w:sz="0" w:space="0" w:color="auto"/>
        <w:right w:val="none" w:sz="0" w:space="0" w:color="auto"/>
      </w:divBdr>
    </w:div>
    <w:div w:id="203756597">
      <w:bodyDiv w:val="1"/>
      <w:marLeft w:val="0"/>
      <w:marRight w:val="0"/>
      <w:marTop w:val="0"/>
      <w:marBottom w:val="0"/>
      <w:divBdr>
        <w:top w:val="none" w:sz="0" w:space="0" w:color="auto"/>
        <w:left w:val="none" w:sz="0" w:space="0" w:color="auto"/>
        <w:bottom w:val="none" w:sz="0" w:space="0" w:color="auto"/>
        <w:right w:val="none" w:sz="0" w:space="0" w:color="auto"/>
      </w:divBdr>
    </w:div>
    <w:div w:id="275674679">
      <w:bodyDiv w:val="1"/>
      <w:marLeft w:val="0"/>
      <w:marRight w:val="0"/>
      <w:marTop w:val="0"/>
      <w:marBottom w:val="0"/>
      <w:divBdr>
        <w:top w:val="none" w:sz="0" w:space="0" w:color="auto"/>
        <w:left w:val="none" w:sz="0" w:space="0" w:color="auto"/>
        <w:bottom w:val="none" w:sz="0" w:space="0" w:color="auto"/>
        <w:right w:val="none" w:sz="0" w:space="0" w:color="auto"/>
      </w:divBdr>
    </w:div>
    <w:div w:id="305280687">
      <w:bodyDiv w:val="1"/>
      <w:marLeft w:val="0"/>
      <w:marRight w:val="0"/>
      <w:marTop w:val="0"/>
      <w:marBottom w:val="0"/>
      <w:divBdr>
        <w:top w:val="none" w:sz="0" w:space="0" w:color="auto"/>
        <w:left w:val="none" w:sz="0" w:space="0" w:color="auto"/>
        <w:bottom w:val="none" w:sz="0" w:space="0" w:color="auto"/>
        <w:right w:val="none" w:sz="0" w:space="0" w:color="auto"/>
      </w:divBdr>
      <w:divsChild>
        <w:div w:id="1310596974">
          <w:marLeft w:val="446"/>
          <w:marRight w:val="0"/>
          <w:marTop w:val="0"/>
          <w:marBottom w:val="0"/>
          <w:divBdr>
            <w:top w:val="none" w:sz="0" w:space="0" w:color="auto"/>
            <w:left w:val="none" w:sz="0" w:space="0" w:color="auto"/>
            <w:bottom w:val="none" w:sz="0" w:space="0" w:color="auto"/>
            <w:right w:val="none" w:sz="0" w:space="0" w:color="auto"/>
          </w:divBdr>
        </w:div>
        <w:div w:id="367337017">
          <w:marLeft w:val="1166"/>
          <w:marRight w:val="0"/>
          <w:marTop w:val="0"/>
          <w:marBottom w:val="0"/>
          <w:divBdr>
            <w:top w:val="none" w:sz="0" w:space="0" w:color="auto"/>
            <w:left w:val="none" w:sz="0" w:space="0" w:color="auto"/>
            <w:bottom w:val="none" w:sz="0" w:space="0" w:color="auto"/>
            <w:right w:val="none" w:sz="0" w:space="0" w:color="auto"/>
          </w:divBdr>
        </w:div>
        <w:div w:id="1843084416">
          <w:marLeft w:val="1166"/>
          <w:marRight w:val="0"/>
          <w:marTop w:val="0"/>
          <w:marBottom w:val="0"/>
          <w:divBdr>
            <w:top w:val="none" w:sz="0" w:space="0" w:color="auto"/>
            <w:left w:val="none" w:sz="0" w:space="0" w:color="auto"/>
            <w:bottom w:val="none" w:sz="0" w:space="0" w:color="auto"/>
            <w:right w:val="none" w:sz="0" w:space="0" w:color="auto"/>
          </w:divBdr>
        </w:div>
        <w:div w:id="1941259589">
          <w:marLeft w:val="1166"/>
          <w:marRight w:val="0"/>
          <w:marTop w:val="0"/>
          <w:marBottom w:val="0"/>
          <w:divBdr>
            <w:top w:val="none" w:sz="0" w:space="0" w:color="auto"/>
            <w:left w:val="none" w:sz="0" w:space="0" w:color="auto"/>
            <w:bottom w:val="none" w:sz="0" w:space="0" w:color="auto"/>
            <w:right w:val="none" w:sz="0" w:space="0" w:color="auto"/>
          </w:divBdr>
        </w:div>
        <w:div w:id="936980306">
          <w:marLeft w:val="446"/>
          <w:marRight w:val="0"/>
          <w:marTop w:val="0"/>
          <w:marBottom w:val="0"/>
          <w:divBdr>
            <w:top w:val="none" w:sz="0" w:space="0" w:color="auto"/>
            <w:left w:val="none" w:sz="0" w:space="0" w:color="auto"/>
            <w:bottom w:val="none" w:sz="0" w:space="0" w:color="auto"/>
            <w:right w:val="none" w:sz="0" w:space="0" w:color="auto"/>
          </w:divBdr>
        </w:div>
        <w:div w:id="402722060">
          <w:marLeft w:val="1354"/>
          <w:marRight w:val="0"/>
          <w:marTop w:val="0"/>
          <w:marBottom w:val="0"/>
          <w:divBdr>
            <w:top w:val="none" w:sz="0" w:space="0" w:color="auto"/>
            <w:left w:val="none" w:sz="0" w:space="0" w:color="auto"/>
            <w:bottom w:val="none" w:sz="0" w:space="0" w:color="auto"/>
            <w:right w:val="none" w:sz="0" w:space="0" w:color="auto"/>
          </w:divBdr>
        </w:div>
        <w:div w:id="506333071">
          <w:marLeft w:val="1354"/>
          <w:marRight w:val="0"/>
          <w:marTop w:val="0"/>
          <w:marBottom w:val="0"/>
          <w:divBdr>
            <w:top w:val="none" w:sz="0" w:space="0" w:color="auto"/>
            <w:left w:val="none" w:sz="0" w:space="0" w:color="auto"/>
            <w:bottom w:val="none" w:sz="0" w:space="0" w:color="auto"/>
            <w:right w:val="none" w:sz="0" w:space="0" w:color="auto"/>
          </w:divBdr>
        </w:div>
      </w:divsChild>
    </w:div>
    <w:div w:id="324288797">
      <w:bodyDiv w:val="1"/>
      <w:marLeft w:val="0"/>
      <w:marRight w:val="0"/>
      <w:marTop w:val="0"/>
      <w:marBottom w:val="0"/>
      <w:divBdr>
        <w:top w:val="none" w:sz="0" w:space="0" w:color="auto"/>
        <w:left w:val="none" w:sz="0" w:space="0" w:color="auto"/>
        <w:bottom w:val="none" w:sz="0" w:space="0" w:color="auto"/>
        <w:right w:val="none" w:sz="0" w:space="0" w:color="auto"/>
      </w:divBdr>
    </w:div>
    <w:div w:id="362021470">
      <w:bodyDiv w:val="1"/>
      <w:marLeft w:val="0"/>
      <w:marRight w:val="0"/>
      <w:marTop w:val="0"/>
      <w:marBottom w:val="0"/>
      <w:divBdr>
        <w:top w:val="none" w:sz="0" w:space="0" w:color="auto"/>
        <w:left w:val="none" w:sz="0" w:space="0" w:color="auto"/>
        <w:bottom w:val="none" w:sz="0" w:space="0" w:color="auto"/>
        <w:right w:val="none" w:sz="0" w:space="0" w:color="auto"/>
      </w:divBdr>
    </w:div>
    <w:div w:id="364018719">
      <w:bodyDiv w:val="1"/>
      <w:marLeft w:val="0"/>
      <w:marRight w:val="0"/>
      <w:marTop w:val="0"/>
      <w:marBottom w:val="0"/>
      <w:divBdr>
        <w:top w:val="none" w:sz="0" w:space="0" w:color="auto"/>
        <w:left w:val="none" w:sz="0" w:space="0" w:color="auto"/>
        <w:bottom w:val="none" w:sz="0" w:space="0" w:color="auto"/>
        <w:right w:val="none" w:sz="0" w:space="0" w:color="auto"/>
      </w:divBdr>
      <w:divsChild>
        <w:div w:id="165950355">
          <w:marLeft w:val="446"/>
          <w:marRight w:val="0"/>
          <w:marTop w:val="0"/>
          <w:marBottom w:val="0"/>
          <w:divBdr>
            <w:top w:val="none" w:sz="0" w:space="0" w:color="auto"/>
            <w:left w:val="none" w:sz="0" w:space="0" w:color="auto"/>
            <w:bottom w:val="none" w:sz="0" w:space="0" w:color="auto"/>
            <w:right w:val="none" w:sz="0" w:space="0" w:color="auto"/>
          </w:divBdr>
        </w:div>
        <w:div w:id="1886747714">
          <w:marLeft w:val="446"/>
          <w:marRight w:val="0"/>
          <w:marTop w:val="0"/>
          <w:marBottom w:val="0"/>
          <w:divBdr>
            <w:top w:val="none" w:sz="0" w:space="0" w:color="auto"/>
            <w:left w:val="none" w:sz="0" w:space="0" w:color="auto"/>
            <w:bottom w:val="none" w:sz="0" w:space="0" w:color="auto"/>
            <w:right w:val="none" w:sz="0" w:space="0" w:color="auto"/>
          </w:divBdr>
        </w:div>
        <w:div w:id="784075725">
          <w:marLeft w:val="446"/>
          <w:marRight w:val="0"/>
          <w:marTop w:val="0"/>
          <w:marBottom w:val="0"/>
          <w:divBdr>
            <w:top w:val="none" w:sz="0" w:space="0" w:color="auto"/>
            <w:left w:val="none" w:sz="0" w:space="0" w:color="auto"/>
            <w:bottom w:val="none" w:sz="0" w:space="0" w:color="auto"/>
            <w:right w:val="none" w:sz="0" w:space="0" w:color="auto"/>
          </w:divBdr>
        </w:div>
        <w:div w:id="1038697701">
          <w:marLeft w:val="446"/>
          <w:marRight w:val="0"/>
          <w:marTop w:val="0"/>
          <w:marBottom w:val="0"/>
          <w:divBdr>
            <w:top w:val="none" w:sz="0" w:space="0" w:color="auto"/>
            <w:left w:val="none" w:sz="0" w:space="0" w:color="auto"/>
            <w:bottom w:val="none" w:sz="0" w:space="0" w:color="auto"/>
            <w:right w:val="none" w:sz="0" w:space="0" w:color="auto"/>
          </w:divBdr>
        </w:div>
      </w:divsChild>
    </w:div>
    <w:div w:id="390273114">
      <w:bodyDiv w:val="1"/>
      <w:marLeft w:val="0"/>
      <w:marRight w:val="0"/>
      <w:marTop w:val="0"/>
      <w:marBottom w:val="0"/>
      <w:divBdr>
        <w:top w:val="none" w:sz="0" w:space="0" w:color="auto"/>
        <w:left w:val="none" w:sz="0" w:space="0" w:color="auto"/>
        <w:bottom w:val="none" w:sz="0" w:space="0" w:color="auto"/>
        <w:right w:val="none" w:sz="0" w:space="0" w:color="auto"/>
      </w:divBdr>
    </w:div>
    <w:div w:id="414480796">
      <w:bodyDiv w:val="1"/>
      <w:marLeft w:val="0"/>
      <w:marRight w:val="0"/>
      <w:marTop w:val="0"/>
      <w:marBottom w:val="0"/>
      <w:divBdr>
        <w:top w:val="none" w:sz="0" w:space="0" w:color="auto"/>
        <w:left w:val="none" w:sz="0" w:space="0" w:color="auto"/>
        <w:bottom w:val="none" w:sz="0" w:space="0" w:color="auto"/>
        <w:right w:val="none" w:sz="0" w:space="0" w:color="auto"/>
      </w:divBdr>
    </w:div>
    <w:div w:id="637689934">
      <w:bodyDiv w:val="1"/>
      <w:marLeft w:val="0"/>
      <w:marRight w:val="0"/>
      <w:marTop w:val="0"/>
      <w:marBottom w:val="0"/>
      <w:divBdr>
        <w:top w:val="none" w:sz="0" w:space="0" w:color="auto"/>
        <w:left w:val="none" w:sz="0" w:space="0" w:color="auto"/>
        <w:bottom w:val="none" w:sz="0" w:space="0" w:color="auto"/>
        <w:right w:val="none" w:sz="0" w:space="0" w:color="auto"/>
      </w:divBdr>
    </w:div>
    <w:div w:id="641815432">
      <w:bodyDiv w:val="1"/>
      <w:marLeft w:val="0"/>
      <w:marRight w:val="0"/>
      <w:marTop w:val="0"/>
      <w:marBottom w:val="0"/>
      <w:divBdr>
        <w:top w:val="none" w:sz="0" w:space="0" w:color="auto"/>
        <w:left w:val="none" w:sz="0" w:space="0" w:color="auto"/>
        <w:bottom w:val="none" w:sz="0" w:space="0" w:color="auto"/>
        <w:right w:val="none" w:sz="0" w:space="0" w:color="auto"/>
      </w:divBdr>
    </w:div>
    <w:div w:id="815531692">
      <w:bodyDiv w:val="1"/>
      <w:marLeft w:val="0"/>
      <w:marRight w:val="0"/>
      <w:marTop w:val="0"/>
      <w:marBottom w:val="0"/>
      <w:divBdr>
        <w:top w:val="none" w:sz="0" w:space="0" w:color="auto"/>
        <w:left w:val="none" w:sz="0" w:space="0" w:color="auto"/>
        <w:bottom w:val="none" w:sz="0" w:space="0" w:color="auto"/>
        <w:right w:val="none" w:sz="0" w:space="0" w:color="auto"/>
      </w:divBdr>
    </w:div>
    <w:div w:id="823352603">
      <w:bodyDiv w:val="1"/>
      <w:marLeft w:val="0"/>
      <w:marRight w:val="0"/>
      <w:marTop w:val="0"/>
      <w:marBottom w:val="0"/>
      <w:divBdr>
        <w:top w:val="none" w:sz="0" w:space="0" w:color="auto"/>
        <w:left w:val="none" w:sz="0" w:space="0" w:color="auto"/>
        <w:bottom w:val="none" w:sz="0" w:space="0" w:color="auto"/>
        <w:right w:val="none" w:sz="0" w:space="0" w:color="auto"/>
      </w:divBdr>
    </w:div>
    <w:div w:id="843860116">
      <w:bodyDiv w:val="1"/>
      <w:marLeft w:val="0"/>
      <w:marRight w:val="0"/>
      <w:marTop w:val="0"/>
      <w:marBottom w:val="0"/>
      <w:divBdr>
        <w:top w:val="none" w:sz="0" w:space="0" w:color="auto"/>
        <w:left w:val="none" w:sz="0" w:space="0" w:color="auto"/>
        <w:bottom w:val="none" w:sz="0" w:space="0" w:color="auto"/>
        <w:right w:val="none" w:sz="0" w:space="0" w:color="auto"/>
      </w:divBdr>
    </w:div>
    <w:div w:id="872352189">
      <w:bodyDiv w:val="1"/>
      <w:marLeft w:val="0"/>
      <w:marRight w:val="0"/>
      <w:marTop w:val="0"/>
      <w:marBottom w:val="0"/>
      <w:divBdr>
        <w:top w:val="none" w:sz="0" w:space="0" w:color="auto"/>
        <w:left w:val="none" w:sz="0" w:space="0" w:color="auto"/>
        <w:bottom w:val="none" w:sz="0" w:space="0" w:color="auto"/>
        <w:right w:val="none" w:sz="0" w:space="0" w:color="auto"/>
      </w:divBdr>
      <w:divsChild>
        <w:div w:id="101384913">
          <w:marLeft w:val="446"/>
          <w:marRight w:val="0"/>
          <w:marTop w:val="0"/>
          <w:marBottom w:val="0"/>
          <w:divBdr>
            <w:top w:val="none" w:sz="0" w:space="0" w:color="auto"/>
            <w:left w:val="none" w:sz="0" w:space="0" w:color="auto"/>
            <w:bottom w:val="none" w:sz="0" w:space="0" w:color="auto"/>
            <w:right w:val="none" w:sz="0" w:space="0" w:color="auto"/>
          </w:divBdr>
        </w:div>
        <w:div w:id="1513840975">
          <w:marLeft w:val="1354"/>
          <w:marRight w:val="0"/>
          <w:marTop w:val="0"/>
          <w:marBottom w:val="0"/>
          <w:divBdr>
            <w:top w:val="none" w:sz="0" w:space="0" w:color="auto"/>
            <w:left w:val="none" w:sz="0" w:space="0" w:color="auto"/>
            <w:bottom w:val="none" w:sz="0" w:space="0" w:color="auto"/>
            <w:right w:val="none" w:sz="0" w:space="0" w:color="auto"/>
          </w:divBdr>
        </w:div>
      </w:divsChild>
    </w:div>
    <w:div w:id="946305402">
      <w:bodyDiv w:val="1"/>
      <w:marLeft w:val="0"/>
      <w:marRight w:val="0"/>
      <w:marTop w:val="0"/>
      <w:marBottom w:val="0"/>
      <w:divBdr>
        <w:top w:val="none" w:sz="0" w:space="0" w:color="auto"/>
        <w:left w:val="none" w:sz="0" w:space="0" w:color="auto"/>
        <w:bottom w:val="none" w:sz="0" w:space="0" w:color="auto"/>
        <w:right w:val="none" w:sz="0" w:space="0" w:color="auto"/>
      </w:divBdr>
    </w:div>
    <w:div w:id="1139617226">
      <w:bodyDiv w:val="1"/>
      <w:marLeft w:val="0"/>
      <w:marRight w:val="0"/>
      <w:marTop w:val="0"/>
      <w:marBottom w:val="0"/>
      <w:divBdr>
        <w:top w:val="none" w:sz="0" w:space="0" w:color="auto"/>
        <w:left w:val="none" w:sz="0" w:space="0" w:color="auto"/>
        <w:bottom w:val="none" w:sz="0" w:space="0" w:color="auto"/>
        <w:right w:val="none" w:sz="0" w:space="0" w:color="auto"/>
      </w:divBdr>
    </w:div>
    <w:div w:id="1152523641">
      <w:bodyDiv w:val="1"/>
      <w:marLeft w:val="0"/>
      <w:marRight w:val="0"/>
      <w:marTop w:val="0"/>
      <w:marBottom w:val="0"/>
      <w:divBdr>
        <w:top w:val="none" w:sz="0" w:space="0" w:color="auto"/>
        <w:left w:val="none" w:sz="0" w:space="0" w:color="auto"/>
        <w:bottom w:val="none" w:sz="0" w:space="0" w:color="auto"/>
        <w:right w:val="none" w:sz="0" w:space="0" w:color="auto"/>
      </w:divBdr>
      <w:divsChild>
        <w:div w:id="938677105">
          <w:marLeft w:val="446"/>
          <w:marRight w:val="0"/>
          <w:marTop w:val="0"/>
          <w:marBottom w:val="0"/>
          <w:divBdr>
            <w:top w:val="none" w:sz="0" w:space="0" w:color="auto"/>
            <w:left w:val="none" w:sz="0" w:space="0" w:color="auto"/>
            <w:bottom w:val="none" w:sz="0" w:space="0" w:color="auto"/>
            <w:right w:val="none" w:sz="0" w:space="0" w:color="auto"/>
          </w:divBdr>
        </w:div>
        <w:div w:id="854198917">
          <w:marLeft w:val="446"/>
          <w:marRight w:val="0"/>
          <w:marTop w:val="0"/>
          <w:marBottom w:val="0"/>
          <w:divBdr>
            <w:top w:val="none" w:sz="0" w:space="0" w:color="auto"/>
            <w:left w:val="none" w:sz="0" w:space="0" w:color="auto"/>
            <w:bottom w:val="none" w:sz="0" w:space="0" w:color="auto"/>
            <w:right w:val="none" w:sz="0" w:space="0" w:color="auto"/>
          </w:divBdr>
        </w:div>
        <w:div w:id="631063183">
          <w:marLeft w:val="446"/>
          <w:marRight w:val="0"/>
          <w:marTop w:val="0"/>
          <w:marBottom w:val="0"/>
          <w:divBdr>
            <w:top w:val="none" w:sz="0" w:space="0" w:color="auto"/>
            <w:left w:val="none" w:sz="0" w:space="0" w:color="auto"/>
            <w:bottom w:val="none" w:sz="0" w:space="0" w:color="auto"/>
            <w:right w:val="none" w:sz="0" w:space="0" w:color="auto"/>
          </w:divBdr>
        </w:div>
        <w:div w:id="1844738644">
          <w:marLeft w:val="446"/>
          <w:marRight w:val="0"/>
          <w:marTop w:val="0"/>
          <w:marBottom w:val="0"/>
          <w:divBdr>
            <w:top w:val="none" w:sz="0" w:space="0" w:color="auto"/>
            <w:left w:val="none" w:sz="0" w:space="0" w:color="auto"/>
            <w:bottom w:val="none" w:sz="0" w:space="0" w:color="auto"/>
            <w:right w:val="none" w:sz="0" w:space="0" w:color="auto"/>
          </w:divBdr>
        </w:div>
        <w:div w:id="1275751640">
          <w:marLeft w:val="446"/>
          <w:marRight w:val="0"/>
          <w:marTop w:val="0"/>
          <w:marBottom w:val="0"/>
          <w:divBdr>
            <w:top w:val="none" w:sz="0" w:space="0" w:color="auto"/>
            <w:left w:val="none" w:sz="0" w:space="0" w:color="auto"/>
            <w:bottom w:val="none" w:sz="0" w:space="0" w:color="auto"/>
            <w:right w:val="none" w:sz="0" w:space="0" w:color="auto"/>
          </w:divBdr>
        </w:div>
      </w:divsChild>
    </w:div>
    <w:div w:id="1178888080">
      <w:bodyDiv w:val="1"/>
      <w:marLeft w:val="0"/>
      <w:marRight w:val="0"/>
      <w:marTop w:val="0"/>
      <w:marBottom w:val="0"/>
      <w:divBdr>
        <w:top w:val="none" w:sz="0" w:space="0" w:color="auto"/>
        <w:left w:val="none" w:sz="0" w:space="0" w:color="auto"/>
        <w:bottom w:val="none" w:sz="0" w:space="0" w:color="auto"/>
        <w:right w:val="none" w:sz="0" w:space="0" w:color="auto"/>
      </w:divBdr>
    </w:div>
    <w:div w:id="1282373382">
      <w:bodyDiv w:val="1"/>
      <w:marLeft w:val="0"/>
      <w:marRight w:val="0"/>
      <w:marTop w:val="0"/>
      <w:marBottom w:val="0"/>
      <w:divBdr>
        <w:top w:val="none" w:sz="0" w:space="0" w:color="auto"/>
        <w:left w:val="none" w:sz="0" w:space="0" w:color="auto"/>
        <w:bottom w:val="none" w:sz="0" w:space="0" w:color="auto"/>
        <w:right w:val="none" w:sz="0" w:space="0" w:color="auto"/>
      </w:divBdr>
    </w:div>
    <w:div w:id="1286620852">
      <w:bodyDiv w:val="1"/>
      <w:marLeft w:val="0"/>
      <w:marRight w:val="0"/>
      <w:marTop w:val="0"/>
      <w:marBottom w:val="0"/>
      <w:divBdr>
        <w:top w:val="none" w:sz="0" w:space="0" w:color="auto"/>
        <w:left w:val="none" w:sz="0" w:space="0" w:color="auto"/>
        <w:bottom w:val="none" w:sz="0" w:space="0" w:color="auto"/>
        <w:right w:val="none" w:sz="0" w:space="0" w:color="auto"/>
      </w:divBdr>
    </w:div>
    <w:div w:id="1479345748">
      <w:bodyDiv w:val="1"/>
      <w:marLeft w:val="0"/>
      <w:marRight w:val="0"/>
      <w:marTop w:val="0"/>
      <w:marBottom w:val="0"/>
      <w:divBdr>
        <w:top w:val="none" w:sz="0" w:space="0" w:color="auto"/>
        <w:left w:val="none" w:sz="0" w:space="0" w:color="auto"/>
        <w:bottom w:val="none" w:sz="0" w:space="0" w:color="auto"/>
        <w:right w:val="none" w:sz="0" w:space="0" w:color="auto"/>
      </w:divBdr>
    </w:div>
    <w:div w:id="1590507287">
      <w:bodyDiv w:val="1"/>
      <w:marLeft w:val="0"/>
      <w:marRight w:val="0"/>
      <w:marTop w:val="0"/>
      <w:marBottom w:val="0"/>
      <w:divBdr>
        <w:top w:val="none" w:sz="0" w:space="0" w:color="auto"/>
        <w:left w:val="none" w:sz="0" w:space="0" w:color="auto"/>
        <w:bottom w:val="none" w:sz="0" w:space="0" w:color="auto"/>
        <w:right w:val="none" w:sz="0" w:space="0" w:color="auto"/>
      </w:divBdr>
      <w:divsChild>
        <w:div w:id="1569611231">
          <w:marLeft w:val="0"/>
          <w:marRight w:val="0"/>
          <w:marTop w:val="0"/>
          <w:marBottom w:val="0"/>
          <w:divBdr>
            <w:top w:val="none" w:sz="0" w:space="0" w:color="auto"/>
            <w:left w:val="none" w:sz="0" w:space="0" w:color="auto"/>
            <w:bottom w:val="none" w:sz="0" w:space="0" w:color="auto"/>
            <w:right w:val="none" w:sz="0" w:space="0" w:color="auto"/>
          </w:divBdr>
          <w:divsChild>
            <w:div w:id="292978499">
              <w:marLeft w:val="0"/>
              <w:marRight w:val="0"/>
              <w:marTop w:val="0"/>
              <w:marBottom w:val="0"/>
              <w:divBdr>
                <w:top w:val="none" w:sz="0" w:space="0" w:color="auto"/>
                <w:left w:val="none" w:sz="0" w:space="0" w:color="auto"/>
                <w:bottom w:val="none" w:sz="0" w:space="0" w:color="auto"/>
                <w:right w:val="none" w:sz="0" w:space="0" w:color="auto"/>
              </w:divBdr>
              <w:divsChild>
                <w:div w:id="160125164">
                  <w:marLeft w:val="0"/>
                  <w:marRight w:val="0"/>
                  <w:marTop w:val="0"/>
                  <w:marBottom w:val="0"/>
                  <w:divBdr>
                    <w:top w:val="none" w:sz="0" w:space="0" w:color="auto"/>
                    <w:left w:val="none" w:sz="0" w:space="0" w:color="auto"/>
                    <w:bottom w:val="none" w:sz="0" w:space="0" w:color="auto"/>
                    <w:right w:val="none" w:sz="0" w:space="0" w:color="auto"/>
                  </w:divBdr>
                  <w:divsChild>
                    <w:div w:id="266351223">
                      <w:marLeft w:val="0"/>
                      <w:marRight w:val="0"/>
                      <w:marTop w:val="0"/>
                      <w:marBottom w:val="0"/>
                      <w:divBdr>
                        <w:top w:val="none" w:sz="0" w:space="0" w:color="auto"/>
                        <w:left w:val="none" w:sz="0" w:space="0" w:color="auto"/>
                        <w:bottom w:val="none" w:sz="0" w:space="0" w:color="auto"/>
                        <w:right w:val="none" w:sz="0" w:space="0" w:color="auto"/>
                      </w:divBdr>
                      <w:divsChild>
                        <w:div w:id="880483907">
                          <w:marLeft w:val="0"/>
                          <w:marRight w:val="0"/>
                          <w:marTop w:val="0"/>
                          <w:marBottom w:val="0"/>
                          <w:divBdr>
                            <w:top w:val="none" w:sz="0" w:space="0" w:color="auto"/>
                            <w:left w:val="none" w:sz="0" w:space="0" w:color="auto"/>
                            <w:bottom w:val="none" w:sz="0" w:space="0" w:color="auto"/>
                            <w:right w:val="none" w:sz="0" w:space="0" w:color="auto"/>
                          </w:divBdr>
                          <w:divsChild>
                            <w:div w:id="1460218367">
                              <w:marLeft w:val="0"/>
                              <w:marRight w:val="0"/>
                              <w:marTop w:val="0"/>
                              <w:marBottom w:val="0"/>
                              <w:divBdr>
                                <w:top w:val="none" w:sz="0" w:space="0" w:color="auto"/>
                                <w:left w:val="none" w:sz="0" w:space="0" w:color="auto"/>
                                <w:bottom w:val="none" w:sz="0" w:space="0" w:color="auto"/>
                                <w:right w:val="none" w:sz="0" w:space="0" w:color="auto"/>
                              </w:divBdr>
                              <w:divsChild>
                                <w:div w:id="704912855">
                                  <w:marLeft w:val="0"/>
                                  <w:marRight w:val="0"/>
                                  <w:marTop w:val="0"/>
                                  <w:marBottom w:val="0"/>
                                  <w:divBdr>
                                    <w:top w:val="none" w:sz="0" w:space="0" w:color="auto"/>
                                    <w:left w:val="none" w:sz="0" w:space="0" w:color="auto"/>
                                    <w:bottom w:val="none" w:sz="0" w:space="0" w:color="auto"/>
                                    <w:right w:val="none" w:sz="0" w:space="0" w:color="auto"/>
                                  </w:divBdr>
                                  <w:divsChild>
                                    <w:div w:id="1984650744">
                                      <w:marLeft w:val="0"/>
                                      <w:marRight w:val="0"/>
                                      <w:marTop w:val="0"/>
                                      <w:marBottom w:val="0"/>
                                      <w:divBdr>
                                        <w:top w:val="none" w:sz="0" w:space="0" w:color="auto"/>
                                        <w:left w:val="none" w:sz="0" w:space="0" w:color="auto"/>
                                        <w:bottom w:val="none" w:sz="0" w:space="0" w:color="auto"/>
                                        <w:right w:val="none" w:sz="0" w:space="0" w:color="auto"/>
                                      </w:divBdr>
                                      <w:divsChild>
                                        <w:div w:id="359206622">
                                          <w:marLeft w:val="0"/>
                                          <w:marRight w:val="0"/>
                                          <w:marTop w:val="0"/>
                                          <w:marBottom w:val="0"/>
                                          <w:divBdr>
                                            <w:top w:val="none" w:sz="0" w:space="0" w:color="auto"/>
                                            <w:left w:val="none" w:sz="0" w:space="0" w:color="auto"/>
                                            <w:bottom w:val="none" w:sz="0" w:space="0" w:color="auto"/>
                                            <w:right w:val="none" w:sz="0" w:space="0" w:color="auto"/>
                                          </w:divBdr>
                                          <w:divsChild>
                                            <w:div w:id="1909265990">
                                              <w:marLeft w:val="0"/>
                                              <w:marRight w:val="0"/>
                                              <w:marTop w:val="0"/>
                                              <w:marBottom w:val="0"/>
                                              <w:divBdr>
                                                <w:top w:val="none" w:sz="0" w:space="0" w:color="auto"/>
                                                <w:left w:val="none" w:sz="0" w:space="0" w:color="auto"/>
                                                <w:bottom w:val="none" w:sz="0" w:space="0" w:color="auto"/>
                                                <w:right w:val="none" w:sz="0" w:space="0" w:color="auto"/>
                                              </w:divBdr>
                                              <w:divsChild>
                                                <w:div w:id="1338775780">
                                                  <w:marLeft w:val="0"/>
                                                  <w:marRight w:val="0"/>
                                                  <w:marTop w:val="0"/>
                                                  <w:marBottom w:val="0"/>
                                                  <w:divBdr>
                                                    <w:top w:val="none" w:sz="0" w:space="0" w:color="auto"/>
                                                    <w:left w:val="none" w:sz="0" w:space="0" w:color="auto"/>
                                                    <w:bottom w:val="none" w:sz="0" w:space="0" w:color="auto"/>
                                                    <w:right w:val="none" w:sz="0" w:space="0" w:color="auto"/>
                                                  </w:divBdr>
                                                  <w:divsChild>
                                                    <w:div w:id="2013944837">
                                                      <w:marLeft w:val="0"/>
                                                      <w:marRight w:val="0"/>
                                                      <w:marTop w:val="0"/>
                                                      <w:marBottom w:val="0"/>
                                                      <w:divBdr>
                                                        <w:top w:val="none" w:sz="0" w:space="0" w:color="auto"/>
                                                        <w:left w:val="none" w:sz="0" w:space="0" w:color="auto"/>
                                                        <w:bottom w:val="none" w:sz="0" w:space="0" w:color="auto"/>
                                                        <w:right w:val="none" w:sz="0" w:space="0" w:color="auto"/>
                                                      </w:divBdr>
                                                      <w:divsChild>
                                                        <w:div w:id="883370507">
                                                          <w:marLeft w:val="0"/>
                                                          <w:marRight w:val="0"/>
                                                          <w:marTop w:val="0"/>
                                                          <w:marBottom w:val="0"/>
                                                          <w:divBdr>
                                                            <w:top w:val="none" w:sz="0" w:space="0" w:color="auto"/>
                                                            <w:left w:val="none" w:sz="0" w:space="0" w:color="auto"/>
                                                            <w:bottom w:val="none" w:sz="0" w:space="0" w:color="auto"/>
                                                            <w:right w:val="none" w:sz="0" w:space="0" w:color="auto"/>
                                                          </w:divBdr>
                                                          <w:divsChild>
                                                            <w:div w:id="828904561">
                                                              <w:marLeft w:val="0"/>
                                                              <w:marRight w:val="0"/>
                                                              <w:marTop w:val="0"/>
                                                              <w:marBottom w:val="0"/>
                                                              <w:divBdr>
                                                                <w:top w:val="none" w:sz="0" w:space="0" w:color="auto"/>
                                                                <w:left w:val="none" w:sz="0" w:space="0" w:color="auto"/>
                                                                <w:bottom w:val="none" w:sz="0" w:space="0" w:color="auto"/>
                                                                <w:right w:val="none" w:sz="0" w:space="0" w:color="auto"/>
                                                              </w:divBdr>
                                                              <w:divsChild>
                                                                <w:div w:id="119111206">
                                                                  <w:marLeft w:val="0"/>
                                                                  <w:marRight w:val="0"/>
                                                                  <w:marTop w:val="0"/>
                                                                  <w:marBottom w:val="0"/>
                                                                  <w:divBdr>
                                                                    <w:top w:val="none" w:sz="0" w:space="0" w:color="auto"/>
                                                                    <w:left w:val="none" w:sz="0" w:space="0" w:color="auto"/>
                                                                    <w:bottom w:val="none" w:sz="0" w:space="0" w:color="auto"/>
                                                                    <w:right w:val="none" w:sz="0" w:space="0" w:color="auto"/>
                                                                  </w:divBdr>
                                                                  <w:divsChild>
                                                                    <w:div w:id="549072666">
                                                                      <w:marLeft w:val="0"/>
                                                                      <w:marRight w:val="0"/>
                                                                      <w:marTop w:val="0"/>
                                                                      <w:marBottom w:val="0"/>
                                                                      <w:divBdr>
                                                                        <w:top w:val="none" w:sz="0" w:space="0" w:color="auto"/>
                                                                        <w:left w:val="none" w:sz="0" w:space="0" w:color="auto"/>
                                                                        <w:bottom w:val="none" w:sz="0" w:space="0" w:color="auto"/>
                                                                        <w:right w:val="none" w:sz="0" w:space="0" w:color="auto"/>
                                                                      </w:divBdr>
                                                                      <w:divsChild>
                                                                        <w:div w:id="1915431976">
                                                                          <w:marLeft w:val="0"/>
                                                                          <w:marRight w:val="0"/>
                                                                          <w:marTop w:val="0"/>
                                                                          <w:marBottom w:val="0"/>
                                                                          <w:divBdr>
                                                                            <w:top w:val="none" w:sz="0" w:space="0" w:color="auto"/>
                                                                            <w:left w:val="none" w:sz="0" w:space="0" w:color="auto"/>
                                                                            <w:bottom w:val="none" w:sz="0" w:space="0" w:color="auto"/>
                                                                            <w:right w:val="none" w:sz="0" w:space="0" w:color="auto"/>
                                                                          </w:divBdr>
                                                                          <w:divsChild>
                                                                            <w:div w:id="131866889">
                                                                              <w:marLeft w:val="0"/>
                                                                              <w:marRight w:val="0"/>
                                                                              <w:marTop w:val="0"/>
                                                                              <w:marBottom w:val="0"/>
                                                                              <w:divBdr>
                                                                                <w:top w:val="none" w:sz="0" w:space="0" w:color="auto"/>
                                                                                <w:left w:val="none" w:sz="0" w:space="0" w:color="auto"/>
                                                                                <w:bottom w:val="none" w:sz="0" w:space="0" w:color="auto"/>
                                                                                <w:right w:val="none" w:sz="0" w:space="0" w:color="auto"/>
                                                                              </w:divBdr>
                                                                              <w:divsChild>
                                                                                <w:div w:id="825442405">
                                                                                  <w:marLeft w:val="0"/>
                                                                                  <w:marRight w:val="0"/>
                                                                                  <w:marTop w:val="0"/>
                                                                                  <w:marBottom w:val="0"/>
                                                                                  <w:divBdr>
                                                                                    <w:top w:val="none" w:sz="0" w:space="0" w:color="auto"/>
                                                                                    <w:left w:val="none" w:sz="0" w:space="0" w:color="auto"/>
                                                                                    <w:bottom w:val="none" w:sz="0" w:space="0" w:color="auto"/>
                                                                                    <w:right w:val="none" w:sz="0" w:space="0" w:color="auto"/>
                                                                                  </w:divBdr>
                                                                                  <w:divsChild>
                                                                                    <w:div w:id="242498355">
                                                                                      <w:marLeft w:val="0"/>
                                                                                      <w:marRight w:val="0"/>
                                                                                      <w:marTop w:val="0"/>
                                                                                      <w:marBottom w:val="0"/>
                                                                                      <w:divBdr>
                                                                                        <w:top w:val="none" w:sz="0" w:space="0" w:color="auto"/>
                                                                                        <w:left w:val="none" w:sz="0" w:space="0" w:color="auto"/>
                                                                                        <w:bottom w:val="none" w:sz="0" w:space="0" w:color="auto"/>
                                                                                        <w:right w:val="none" w:sz="0" w:space="0" w:color="auto"/>
                                                                                      </w:divBdr>
                                                                                      <w:divsChild>
                                                                                        <w:div w:id="31150836">
                                                                                          <w:marLeft w:val="0"/>
                                                                                          <w:marRight w:val="0"/>
                                                                                          <w:marTop w:val="0"/>
                                                                                          <w:marBottom w:val="0"/>
                                                                                          <w:divBdr>
                                                                                            <w:top w:val="none" w:sz="0" w:space="0" w:color="auto"/>
                                                                                            <w:left w:val="none" w:sz="0" w:space="0" w:color="auto"/>
                                                                                            <w:bottom w:val="none" w:sz="0" w:space="0" w:color="auto"/>
                                                                                            <w:right w:val="none" w:sz="0" w:space="0" w:color="auto"/>
                                                                                          </w:divBdr>
                                                                                          <w:divsChild>
                                                                                            <w:div w:id="1430082866">
                                                                                              <w:marLeft w:val="0"/>
                                                                                              <w:marRight w:val="0"/>
                                                                                              <w:marTop w:val="0"/>
                                                                                              <w:marBottom w:val="0"/>
                                                                                              <w:divBdr>
                                                                                                <w:top w:val="none" w:sz="0" w:space="0" w:color="auto"/>
                                                                                                <w:left w:val="none" w:sz="0" w:space="0" w:color="auto"/>
                                                                                                <w:bottom w:val="none" w:sz="0" w:space="0" w:color="auto"/>
                                                                                                <w:right w:val="none" w:sz="0" w:space="0" w:color="auto"/>
                                                                                              </w:divBdr>
                                                                                              <w:divsChild>
                                                                                                <w:div w:id="809908494">
                                                                                                  <w:marLeft w:val="0"/>
                                                                                                  <w:marRight w:val="0"/>
                                                                                                  <w:marTop w:val="0"/>
                                                                                                  <w:marBottom w:val="0"/>
                                                                                                  <w:divBdr>
                                                                                                    <w:top w:val="none" w:sz="0" w:space="0" w:color="auto"/>
                                                                                                    <w:left w:val="none" w:sz="0" w:space="0" w:color="auto"/>
                                                                                                    <w:bottom w:val="none" w:sz="0" w:space="0" w:color="auto"/>
                                                                                                    <w:right w:val="none" w:sz="0" w:space="0" w:color="auto"/>
                                                                                                  </w:divBdr>
                                                                                                  <w:divsChild>
                                                                                                    <w:div w:id="424689553">
                                                                                                      <w:marLeft w:val="0"/>
                                                                                                      <w:marRight w:val="0"/>
                                                                                                      <w:marTop w:val="0"/>
                                                                                                      <w:marBottom w:val="0"/>
                                                                                                      <w:divBdr>
                                                                                                        <w:top w:val="none" w:sz="0" w:space="0" w:color="auto"/>
                                                                                                        <w:left w:val="none" w:sz="0" w:space="0" w:color="auto"/>
                                                                                                        <w:bottom w:val="none" w:sz="0" w:space="0" w:color="auto"/>
                                                                                                        <w:right w:val="none" w:sz="0" w:space="0" w:color="auto"/>
                                                                                                      </w:divBdr>
                                                                                                      <w:divsChild>
                                                                                                        <w:div w:id="1236352202">
                                                                                                          <w:marLeft w:val="0"/>
                                                                                                          <w:marRight w:val="0"/>
                                                                                                          <w:marTop w:val="0"/>
                                                                                                          <w:marBottom w:val="0"/>
                                                                                                          <w:divBdr>
                                                                                                            <w:top w:val="none" w:sz="0" w:space="0" w:color="auto"/>
                                                                                                            <w:left w:val="none" w:sz="0" w:space="0" w:color="auto"/>
                                                                                                            <w:bottom w:val="none" w:sz="0" w:space="0" w:color="auto"/>
                                                                                                            <w:right w:val="none" w:sz="0" w:space="0" w:color="auto"/>
                                                                                                          </w:divBdr>
                                                                                                          <w:divsChild>
                                                                                                            <w:div w:id="1023481462">
                                                                                                              <w:marLeft w:val="0"/>
                                                                                                              <w:marRight w:val="0"/>
                                                                                                              <w:marTop w:val="0"/>
                                                                                                              <w:marBottom w:val="0"/>
                                                                                                              <w:divBdr>
                                                                                                                <w:top w:val="none" w:sz="0" w:space="0" w:color="auto"/>
                                                                                                                <w:left w:val="none" w:sz="0" w:space="0" w:color="auto"/>
                                                                                                                <w:bottom w:val="none" w:sz="0" w:space="0" w:color="auto"/>
                                                                                                                <w:right w:val="none" w:sz="0" w:space="0" w:color="auto"/>
                                                                                                              </w:divBdr>
                                                                                                              <w:divsChild>
                                                                                                                <w:div w:id="744843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92859522">
      <w:bodyDiv w:val="1"/>
      <w:marLeft w:val="0"/>
      <w:marRight w:val="0"/>
      <w:marTop w:val="0"/>
      <w:marBottom w:val="0"/>
      <w:divBdr>
        <w:top w:val="none" w:sz="0" w:space="0" w:color="auto"/>
        <w:left w:val="none" w:sz="0" w:space="0" w:color="auto"/>
        <w:bottom w:val="none" w:sz="0" w:space="0" w:color="auto"/>
        <w:right w:val="none" w:sz="0" w:space="0" w:color="auto"/>
      </w:divBdr>
      <w:divsChild>
        <w:div w:id="958535321">
          <w:marLeft w:val="446"/>
          <w:marRight w:val="0"/>
          <w:marTop w:val="0"/>
          <w:marBottom w:val="0"/>
          <w:divBdr>
            <w:top w:val="none" w:sz="0" w:space="0" w:color="auto"/>
            <w:left w:val="none" w:sz="0" w:space="0" w:color="auto"/>
            <w:bottom w:val="none" w:sz="0" w:space="0" w:color="auto"/>
            <w:right w:val="none" w:sz="0" w:space="0" w:color="auto"/>
          </w:divBdr>
        </w:div>
        <w:div w:id="867794381">
          <w:marLeft w:val="1354"/>
          <w:marRight w:val="0"/>
          <w:marTop w:val="0"/>
          <w:marBottom w:val="0"/>
          <w:divBdr>
            <w:top w:val="none" w:sz="0" w:space="0" w:color="auto"/>
            <w:left w:val="none" w:sz="0" w:space="0" w:color="auto"/>
            <w:bottom w:val="none" w:sz="0" w:space="0" w:color="auto"/>
            <w:right w:val="none" w:sz="0" w:space="0" w:color="auto"/>
          </w:divBdr>
        </w:div>
      </w:divsChild>
    </w:div>
    <w:div w:id="1659262584">
      <w:bodyDiv w:val="1"/>
      <w:marLeft w:val="0"/>
      <w:marRight w:val="0"/>
      <w:marTop w:val="0"/>
      <w:marBottom w:val="0"/>
      <w:divBdr>
        <w:top w:val="none" w:sz="0" w:space="0" w:color="auto"/>
        <w:left w:val="none" w:sz="0" w:space="0" w:color="auto"/>
        <w:bottom w:val="none" w:sz="0" w:space="0" w:color="auto"/>
        <w:right w:val="none" w:sz="0" w:space="0" w:color="auto"/>
      </w:divBdr>
    </w:div>
    <w:div w:id="1700005638">
      <w:bodyDiv w:val="1"/>
      <w:marLeft w:val="0"/>
      <w:marRight w:val="0"/>
      <w:marTop w:val="0"/>
      <w:marBottom w:val="0"/>
      <w:divBdr>
        <w:top w:val="none" w:sz="0" w:space="0" w:color="auto"/>
        <w:left w:val="none" w:sz="0" w:space="0" w:color="auto"/>
        <w:bottom w:val="none" w:sz="0" w:space="0" w:color="auto"/>
        <w:right w:val="none" w:sz="0" w:space="0" w:color="auto"/>
      </w:divBdr>
    </w:div>
    <w:div w:id="1789466423">
      <w:bodyDiv w:val="1"/>
      <w:marLeft w:val="0"/>
      <w:marRight w:val="0"/>
      <w:marTop w:val="0"/>
      <w:marBottom w:val="0"/>
      <w:divBdr>
        <w:top w:val="none" w:sz="0" w:space="0" w:color="auto"/>
        <w:left w:val="none" w:sz="0" w:space="0" w:color="auto"/>
        <w:bottom w:val="none" w:sz="0" w:space="0" w:color="auto"/>
        <w:right w:val="none" w:sz="0" w:space="0" w:color="auto"/>
      </w:divBdr>
      <w:divsChild>
        <w:div w:id="280303357">
          <w:marLeft w:val="446"/>
          <w:marRight w:val="0"/>
          <w:marTop w:val="0"/>
          <w:marBottom w:val="0"/>
          <w:divBdr>
            <w:top w:val="none" w:sz="0" w:space="0" w:color="auto"/>
            <w:left w:val="none" w:sz="0" w:space="0" w:color="auto"/>
            <w:bottom w:val="none" w:sz="0" w:space="0" w:color="auto"/>
            <w:right w:val="none" w:sz="0" w:space="0" w:color="auto"/>
          </w:divBdr>
        </w:div>
        <w:div w:id="1850486220">
          <w:marLeft w:val="1354"/>
          <w:marRight w:val="0"/>
          <w:marTop w:val="0"/>
          <w:marBottom w:val="0"/>
          <w:divBdr>
            <w:top w:val="none" w:sz="0" w:space="0" w:color="auto"/>
            <w:left w:val="none" w:sz="0" w:space="0" w:color="auto"/>
            <w:bottom w:val="none" w:sz="0" w:space="0" w:color="auto"/>
            <w:right w:val="none" w:sz="0" w:space="0" w:color="auto"/>
          </w:divBdr>
        </w:div>
        <w:div w:id="1626815430">
          <w:marLeft w:val="1354"/>
          <w:marRight w:val="0"/>
          <w:marTop w:val="0"/>
          <w:marBottom w:val="0"/>
          <w:divBdr>
            <w:top w:val="none" w:sz="0" w:space="0" w:color="auto"/>
            <w:left w:val="none" w:sz="0" w:space="0" w:color="auto"/>
            <w:bottom w:val="none" w:sz="0" w:space="0" w:color="auto"/>
            <w:right w:val="none" w:sz="0" w:space="0" w:color="auto"/>
          </w:divBdr>
        </w:div>
        <w:div w:id="742875626">
          <w:marLeft w:val="1354"/>
          <w:marRight w:val="0"/>
          <w:marTop w:val="0"/>
          <w:marBottom w:val="0"/>
          <w:divBdr>
            <w:top w:val="none" w:sz="0" w:space="0" w:color="auto"/>
            <w:left w:val="none" w:sz="0" w:space="0" w:color="auto"/>
            <w:bottom w:val="none" w:sz="0" w:space="0" w:color="auto"/>
            <w:right w:val="none" w:sz="0" w:space="0" w:color="auto"/>
          </w:divBdr>
        </w:div>
      </w:divsChild>
    </w:div>
    <w:div w:id="1846050442">
      <w:bodyDiv w:val="1"/>
      <w:marLeft w:val="0"/>
      <w:marRight w:val="0"/>
      <w:marTop w:val="0"/>
      <w:marBottom w:val="0"/>
      <w:divBdr>
        <w:top w:val="none" w:sz="0" w:space="0" w:color="auto"/>
        <w:left w:val="none" w:sz="0" w:space="0" w:color="auto"/>
        <w:bottom w:val="none" w:sz="0" w:space="0" w:color="auto"/>
        <w:right w:val="none" w:sz="0" w:space="0" w:color="auto"/>
      </w:divBdr>
    </w:div>
    <w:div w:id="2008627861">
      <w:bodyDiv w:val="1"/>
      <w:marLeft w:val="0"/>
      <w:marRight w:val="0"/>
      <w:marTop w:val="0"/>
      <w:marBottom w:val="0"/>
      <w:divBdr>
        <w:top w:val="none" w:sz="0" w:space="0" w:color="auto"/>
        <w:left w:val="none" w:sz="0" w:space="0" w:color="auto"/>
        <w:bottom w:val="none" w:sz="0" w:space="0" w:color="auto"/>
        <w:right w:val="none" w:sz="0" w:space="0" w:color="auto"/>
      </w:divBdr>
    </w:div>
    <w:div w:id="202886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www.cenace.gob.mx/Paginas/Publicas/MercadoOperacion/Garantias.aspx"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3.wmf"/><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www.cenace.gob.mx"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cenace.gob.mx/Paginas/Publicas/MercadoOperacion/SubastasLP.aspx" TargetMode="External"/><Relationship Id="rId20" Type="http://schemas.openxmlformats.org/officeDocument/2006/relationships/image" Target="media/image2.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www.cenace.gob.mx/Paginas/Publicas/MercadoOperacion/SubastasLP.aspx"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www.cenace.gob.mx/Paginas/Publicas/MercadoOperacion/Garantias.aspx"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ob.mx/shcp/documentos/tasa-social-de-descuento-tsd" TargetMode="External"/><Relationship Id="rId22" Type="http://schemas.openxmlformats.org/officeDocument/2006/relationships/image" Target="media/image4.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FCC1B5-03A5-4078-84F3-ADD4758830E7}">
  <ds:schemaRefs>
    <ds:schemaRef ds:uri="http://schemas.openxmlformats.org/officeDocument/2006/bibliography"/>
  </ds:schemaRefs>
</ds:datastoreItem>
</file>

<file path=customXml/itemProps2.xml><?xml version="1.0" encoding="utf-8"?>
<ds:datastoreItem xmlns:ds="http://schemas.openxmlformats.org/officeDocument/2006/customXml" ds:itemID="{C8BB41FA-F28C-402A-BDA2-A91584C0DD24}">
  <ds:schemaRefs>
    <ds:schemaRef ds:uri="http://schemas.openxmlformats.org/officeDocument/2006/bibliography"/>
  </ds:schemaRefs>
</ds:datastoreItem>
</file>

<file path=customXml/itemProps3.xml><?xml version="1.0" encoding="utf-8"?>
<ds:datastoreItem xmlns:ds="http://schemas.openxmlformats.org/officeDocument/2006/customXml" ds:itemID="{A037018F-3B34-4189-9EDB-2A603A99239C}">
  <ds:schemaRefs>
    <ds:schemaRef ds:uri="http://schemas.openxmlformats.org/officeDocument/2006/bibliography"/>
  </ds:schemaRefs>
</ds:datastoreItem>
</file>

<file path=customXml/itemProps4.xml><?xml version="1.0" encoding="utf-8"?>
<ds:datastoreItem xmlns:ds="http://schemas.openxmlformats.org/officeDocument/2006/customXml" ds:itemID="{B10A8C1E-180D-4E86-99F2-457FED329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100</Pages>
  <Words>39168</Words>
  <Characters>215425</Characters>
  <Application>Microsoft Office Word</Application>
  <DocSecurity>0</DocSecurity>
  <Lines>1795</Lines>
  <Paragraphs>508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LinksUpToDate>false</LinksUpToDate>
  <CharactersWithSpaces>254085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2018-06-01T21:13:00Z</dcterms:created>
  <dcterms:modified xsi:type="dcterms:W3CDTF">2018-06-01T21:13:00Z</dcterms:modified>
</cp:coreProperties>
</file>